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5040"/>
        <w:gridCol w:w="7020"/>
      </w:tblGrid>
      <w:tr w:rsidR="00A955F8" w:rsidRPr="00C740EA" w14:paraId="0DB66B78" w14:textId="77777777" w:rsidTr="00DA7EBE">
        <w:trPr>
          <w:cantSplit/>
          <w:trHeight w:val="701"/>
          <w:tblHeader/>
          <w:jc w:val="center"/>
        </w:trPr>
        <w:tc>
          <w:tcPr>
            <w:tcW w:w="14035" w:type="dxa"/>
            <w:gridSpan w:val="3"/>
            <w:shd w:val="clear" w:color="auto" w:fill="auto"/>
            <w:vAlign w:val="bottom"/>
          </w:tcPr>
          <w:p w14:paraId="23AB6634" w14:textId="77777777" w:rsidR="00A955F8" w:rsidRDefault="00A955F8" w:rsidP="00DA7EBE">
            <w:pPr>
              <w:spacing w:after="0" w:line="240" w:lineRule="auto"/>
              <w:jc w:val="center"/>
              <w:rPr>
                <w:rFonts w:ascii="Arial Narrow" w:eastAsia="Times New Roman" w:hAnsi="Arial Narrow" w:cs="Calibri"/>
                <w:b/>
                <w:bCs/>
                <w:color w:val="000000"/>
                <w:sz w:val="24"/>
                <w:szCs w:val="24"/>
              </w:rPr>
            </w:pPr>
            <w:bookmarkStart w:id="0" w:name="_GoBack"/>
            <w:bookmarkEnd w:id="0"/>
            <w:r>
              <w:rPr>
                <w:rFonts w:ascii="Arial Narrow" w:eastAsia="Times New Roman" w:hAnsi="Arial Narrow" w:cs="Calibri"/>
                <w:b/>
                <w:bCs/>
                <w:color w:val="000000"/>
                <w:sz w:val="24"/>
                <w:szCs w:val="24"/>
              </w:rPr>
              <w:t xml:space="preserve">Companion Guide to the </w:t>
            </w:r>
          </w:p>
          <w:p w14:paraId="017CAB77" w14:textId="77777777" w:rsidR="00A955F8" w:rsidRDefault="00A955F8" w:rsidP="00DA7EBE">
            <w:pPr>
              <w:spacing w:after="0" w:line="240" w:lineRule="auto"/>
              <w:jc w:val="center"/>
              <w:rPr>
                <w:rFonts w:ascii="Arial Narrow" w:eastAsia="Times New Roman" w:hAnsi="Arial Narrow" w:cs="Calibri"/>
                <w:b/>
                <w:bCs/>
                <w:i/>
                <w:color w:val="000000"/>
                <w:sz w:val="24"/>
                <w:szCs w:val="24"/>
              </w:rPr>
            </w:pPr>
            <w:r>
              <w:rPr>
                <w:rFonts w:ascii="Arial Narrow" w:eastAsia="Times New Roman" w:hAnsi="Arial Narrow" w:cs="Calibri"/>
                <w:b/>
                <w:bCs/>
                <w:color w:val="000000"/>
                <w:sz w:val="24"/>
                <w:szCs w:val="24"/>
              </w:rPr>
              <w:t xml:space="preserve">DHS OPIA </w:t>
            </w:r>
            <w:r w:rsidRPr="003E41B3">
              <w:rPr>
                <w:rFonts w:ascii="Arial Narrow" w:eastAsia="Times New Roman" w:hAnsi="Arial Narrow" w:cs="Calibri"/>
                <w:b/>
                <w:bCs/>
                <w:i/>
                <w:color w:val="000000"/>
                <w:sz w:val="24"/>
                <w:szCs w:val="24"/>
              </w:rPr>
              <w:t>Report</w:t>
            </w:r>
            <w:r>
              <w:rPr>
                <w:rFonts w:ascii="Arial Narrow" w:eastAsia="Times New Roman" w:hAnsi="Arial Narrow" w:cs="Calibri"/>
                <w:b/>
                <w:bCs/>
                <w:i/>
                <w:color w:val="000000"/>
                <w:sz w:val="24"/>
                <w:szCs w:val="24"/>
              </w:rPr>
              <w:t xml:space="preserve"> Card</w:t>
            </w:r>
            <w:r w:rsidRPr="003E41B3">
              <w:rPr>
                <w:rFonts w:ascii="Arial Narrow" w:eastAsia="Times New Roman" w:hAnsi="Arial Narrow" w:cs="Calibri"/>
                <w:b/>
                <w:bCs/>
                <w:i/>
                <w:color w:val="000000"/>
                <w:sz w:val="24"/>
                <w:szCs w:val="24"/>
              </w:rPr>
              <w:t>- DDD Licensed Providers</w:t>
            </w:r>
          </w:p>
          <w:p w14:paraId="26CAAE27" w14:textId="77777777" w:rsidR="00A955F8" w:rsidRPr="00113F8F" w:rsidRDefault="00A955F8" w:rsidP="00DA7EBE">
            <w:pPr>
              <w:spacing w:after="0" w:line="240" w:lineRule="auto"/>
              <w:rPr>
                <w:rFonts w:ascii="Arial Narrow" w:eastAsia="Times New Roman" w:hAnsi="Arial Narrow" w:cs="Calibri"/>
                <w:b/>
                <w:bCs/>
                <w:color w:val="000000"/>
              </w:rPr>
            </w:pPr>
          </w:p>
          <w:p w14:paraId="4887D14E" w14:textId="208541CF" w:rsidR="00A955F8" w:rsidRPr="00F93382" w:rsidRDefault="00A955F8" w:rsidP="00DA7EBE">
            <w:pPr>
              <w:spacing w:after="0" w:line="240" w:lineRule="auto"/>
              <w:rPr>
                <w:rFonts w:ascii="Arial Narrow" w:eastAsia="Times New Roman" w:hAnsi="Arial Narrow" w:cs="Calibri"/>
                <w:bCs/>
                <w:color w:val="000000"/>
                <w:sz w:val="20"/>
                <w:szCs w:val="20"/>
              </w:rPr>
            </w:pPr>
            <w:r w:rsidRPr="00F93382">
              <w:rPr>
                <w:rFonts w:ascii="Arial Narrow" w:hAnsi="Arial Narrow"/>
                <w:sz w:val="20"/>
                <w:szCs w:val="20"/>
              </w:rPr>
              <w:t xml:space="preserve">The OPIA Report Card, displays data from the following operating units: The Office of Licensing (OOL), the Critical Incident Management Unit (CIMU), </w:t>
            </w:r>
            <w:r w:rsidR="005D38D6">
              <w:rPr>
                <w:rFonts w:ascii="Arial Narrow" w:hAnsi="Arial Narrow"/>
                <w:sz w:val="20"/>
                <w:szCs w:val="20"/>
              </w:rPr>
              <w:t xml:space="preserve">and </w:t>
            </w:r>
            <w:r w:rsidRPr="00F93382">
              <w:rPr>
                <w:rFonts w:ascii="Arial Narrow" w:hAnsi="Arial Narrow"/>
                <w:sz w:val="20"/>
                <w:szCs w:val="20"/>
              </w:rPr>
              <w:t>the Office of Investigations (OI)</w:t>
            </w:r>
            <w:r w:rsidR="00BC168F">
              <w:rPr>
                <w:rFonts w:ascii="Arial Narrow" w:hAnsi="Arial Narrow"/>
                <w:sz w:val="20"/>
                <w:szCs w:val="20"/>
              </w:rPr>
              <w:t>.</w:t>
            </w:r>
          </w:p>
          <w:p w14:paraId="1D757917" w14:textId="77777777" w:rsidR="00A955F8" w:rsidRPr="00F93382" w:rsidRDefault="00A955F8" w:rsidP="00DA7EBE">
            <w:pPr>
              <w:spacing w:after="0" w:line="240" w:lineRule="auto"/>
              <w:rPr>
                <w:rFonts w:ascii="Arial Narrow" w:eastAsia="Times New Roman" w:hAnsi="Arial Narrow" w:cs="Calibri"/>
                <w:bCs/>
                <w:color w:val="000000"/>
                <w:sz w:val="20"/>
                <w:szCs w:val="20"/>
              </w:rPr>
            </w:pPr>
            <w:r w:rsidRPr="00F93382">
              <w:rPr>
                <w:rFonts w:ascii="Arial Narrow" w:eastAsia="Times New Roman" w:hAnsi="Arial Narrow" w:cs="Calibri"/>
                <w:bCs/>
                <w:color w:val="000000"/>
                <w:sz w:val="20"/>
                <w:szCs w:val="20"/>
              </w:rPr>
              <w:t>The Report Card includes one year of data; the date range can be found at the top of the report</w:t>
            </w:r>
            <w:r w:rsidR="00BC168F">
              <w:rPr>
                <w:rFonts w:ascii="Arial Narrow" w:eastAsia="Times New Roman" w:hAnsi="Arial Narrow" w:cs="Calibri"/>
                <w:bCs/>
                <w:color w:val="000000"/>
                <w:sz w:val="20"/>
                <w:szCs w:val="20"/>
              </w:rPr>
              <w:t>.</w:t>
            </w:r>
          </w:p>
          <w:p w14:paraId="3EB317C2" w14:textId="77777777" w:rsidR="00A955F8" w:rsidRPr="00F93382" w:rsidRDefault="00A955F8" w:rsidP="00DA7EBE">
            <w:pPr>
              <w:spacing w:after="0" w:line="240" w:lineRule="auto"/>
              <w:rPr>
                <w:rFonts w:ascii="Arial Narrow" w:eastAsia="Times New Roman" w:hAnsi="Arial Narrow" w:cs="Calibri"/>
                <w:bCs/>
                <w:color w:val="000000"/>
                <w:sz w:val="20"/>
                <w:szCs w:val="20"/>
              </w:rPr>
            </w:pPr>
            <w:r w:rsidRPr="00F93382">
              <w:rPr>
                <w:rFonts w:ascii="Arial Narrow" w:hAnsi="Arial Narrow"/>
                <w:sz w:val="20"/>
                <w:szCs w:val="20"/>
              </w:rPr>
              <w:t>The data contained in the Report Card represents community providers licensed to provide services to individuals with intellectual/developmental disabilities</w:t>
            </w:r>
            <w:r w:rsidR="00BC168F">
              <w:rPr>
                <w:rFonts w:ascii="Arial Narrow" w:hAnsi="Arial Narrow"/>
                <w:sz w:val="20"/>
                <w:szCs w:val="20"/>
              </w:rPr>
              <w:t>.</w:t>
            </w:r>
          </w:p>
          <w:p w14:paraId="77A3545A" w14:textId="6094BCC0" w:rsidR="00A955F8" w:rsidRPr="00F93382" w:rsidRDefault="00A955F8" w:rsidP="00DA7EBE">
            <w:pPr>
              <w:spacing w:after="0" w:line="240" w:lineRule="auto"/>
              <w:rPr>
                <w:rFonts w:ascii="Arial Narrow" w:eastAsia="Times New Roman" w:hAnsi="Arial Narrow" w:cs="Calibri"/>
                <w:bCs/>
                <w:color w:val="000000"/>
                <w:sz w:val="20"/>
                <w:szCs w:val="20"/>
              </w:rPr>
            </w:pPr>
            <w:r w:rsidRPr="00F93382">
              <w:rPr>
                <w:rFonts w:ascii="Arial Narrow" w:eastAsia="Times New Roman" w:hAnsi="Arial Narrow" w:cs="Calibri"/>
                <w:bCs/>
                <w:color w:val="000000"/>
                <w:sz w:val="20"/>
                <w:szCs w:val="20"/>
              </w:rPr>
              <w:t xml:space="preserve">The provider agencies are </w:t>
            </w:r>
            <w:r w:rsidR="005D38D6">
              <w:rPr>
                <w:rFonts w:ascii="Arial Narrow" w:eastAsia="Times New Roman" w:hAnsi="Arial Narrow" w:cs="Calibri"/>
                <w:bCs/>
                <w:color w:val="000000"/>
                <w:sz w:val="20"/>
                <w:szCs w:val="20"/>
              </w:rPr>
              <w:t xml:space="preserve">grouped in tiers according to the size of the agency. Within the Tier group, they are </w:t>
            </w:r>
            <w:r w:rsidRPr="00F93382">
              <w:rPr>
                <w:rFonts w:ascii="Arial Narrow" w:eastAsia="Times New Roman" w:hAnsi="Arial Narrow" w:cs="Calibri"/>
                <w:bCs/>
                <w:color w:val="000000"/>
                <w:sz w:val="20"/>
                <w:szCs w:val="20"/>
              </w:rPr>
              <w:t xml:space="preserve">listed alphabetically. For more information about the agencies, such as which counties they serve, what other services are provided, and contact information, DDD’s Provider Search can be accessed here: </w:t>
            </w:r>
            <w:hyperlink r:id="rId8" w:history="1">
              <w:r w:rsidRPr="00F93382">
                <w:rPr>
                  <w:rStyle w:val="Hyperlink"/>
                  <w:rFonts w:ascii="Arial Narrow" w:eastAsia="Times New Roman" w:hAnsi="Arial Narrow" w:cs="Calibri"/>
                  <w:bCs/>
                  <w:sz w:val="20"/>
                  <w:szCs w:val="20"/>
                </w:rPr>
                <w:t>https://irecord.dhs.state.nj.us/ProviderSearch</w:t>
              </w:r>
            </w:hyperlink>
            <w:r w:rsidR="00BC168F">
              <w:rPr>
                <w:rStyle w:val="Hyperlink"/>
                <w:rFonts w:ascii="Arial Narrow" w:eastAsia="Times New Roman" w:hAnsi="Arial Narrow" w:cs="Calibri"/>
                <w:bCs/>
                <w:sz w:val="20"/>
                <w:szCs w:val="20"/>
              </w:rPr>
              <w:t>.</w:t>
            </w:r>
          </w:p>
          <w:p w14:paraId="4FE7E998" w14:textId="77777777" w:rsidR="00A955F8" w:rsidRPr="00213D92" w:rsidRDefault="00A955F8" w:rsidP="00DA7EBE">
            <w:pPr>
              <w:spacing w:after="0" w:line="240" w:lineRule="auto"/>
              <w:rPr>
                <w:rFonts w:ascii="Arial Narrow" w:eastAsia="Times New Roman" w:hAnsi="Arial Narrow" w:cs="Calibri"/>
                <w:bCs/>
                <w:color w:val="000000"/>
              </w:rPr>
            </w:pPr>
            <w:r w:rsidRPr="00F93382">
              <w:rPr>
                <w:rFonts w:ascii="Arial Narrow" w:eastAsia="Times New Roman" w:hAnsi="Arial Narrow" w:cs="Calibri"/>
                <w:bCs/>
                <w:color w:val="000000"/>
                <w:sz w:val="20"/>
                <w:szCs w:val="20"/>
              </w:rPr>
              <w:t>The chart below describes the information on the Report Card</w:t>
            </w:r>
            <w:r w:rsidR="00BC168F">
              <w:rPr>
                <w:rFonts w:ascii="Arial Narrow" w:eastAsia="Times New Roman" w:hAnsi="Arial Narrow" w:cs="Calibri"/>
                <w:bCs/>
                <w:color w:val="000000"/>
                <w:sz w:val="20"/>
                <w:szCs w:val="20"/>
              </w:rPr>
              <w:t>:</w:t>
            </w:r>
          </w:p>
          <w:p w14:paraId="0EF95173" w14:textId="77777777" w:rsidR="00A955F8" w:rsidRDefault="00A955F8" w:rsidP="00DA7EBE">
            <w:pPr>
              <w:spacing w:after="0" w:line="240" w:lineRule="auto"/>
              <w:rPr>
                <w:rFonts w:ascii="Arial Narrow" w:eastAsia="Times New Roman" w:hAnsi="Arial Narrow" w:cs="Calibri"/>
                <w:b/>
                <w:bCs/>
                <w:color w:val="FFFFFF" w:themeColor="background1"/>
                <w:sz w:val="24"/>
                <w:szCs w:val="24"/>
              </w:rPr>
            </w:pPr>
          </w:p>
        </w:tc>
      </w:tr>
      <w:tr w:rsidR="00A955F8" w:rsidRPr="00C740EA" w14:paraId="4F4BED21" w14:textId="77777777" w:rsidTr="00DA7EBE">
        <w:trPr>
          <w:cantSplit/>
          <w:trHeight w:val="701"/>
          <w:tblHeader/>
          <w:jc w:val="center"/>
        </w:trPr>
        <w:tc>
          <w:tcPr>
            <w:tcW w:w="1975" w:type="dxa"/>
            <w:shd w:val="clear" w:color="auto" w:fill="DEEAF6" w:themeFill="accent1" w:themeFillTint="33"/>
            <w:vAlign w:val="bottom"/>
            <w:hideMark/>
          </w:tcPr>
          <w:p w14:paraId="2A458109" w14:textId="77777777" w:rsidR="00A955F8" w:rsidRPr="00AC27C5" w:rsidRDefault="00A955F8" w:rsidP="00DA7EBE">
            <w:pPr>
              <w:spacing w:after="0" w:line="240" w:lineRule="auto"/>
              <w:jc w:val="center"/>
              <w:rPr>
                <w:rFonts w:ascii="Arial Narrow" w:eastAsia="Times New Roman" w:hAnsi="Arial Narrow" w:cs="Calibri"/>
                <w:b/>
                <w:bCs/>
                <w:color w:val="000000"/>
                <w:sz w:val="24"/>
                <w:szCs w:val="24"/>
              </w:rPr>
            </w:pPr>
            <w:r>
              <w:rPr>
                <w:rFonts w:ascii="Arial Narrow" w:eastAsia="Times New Roman" w:hAnsi="Arial Narrow" w:cs="Calibri"/>
                <w:b/>
                <w:bCs/>
                <w:color w:val="000000"/>
                <w:sz w:val="24"/>
                <w:szCs w:val="24"/>
              </w:rPr>
              <w:t>Column Name</w:t>
            </w:r>
          </w:p>
          <w:p w14:paraId="4773F0B7" w14:textId="77777777" w:rsidR="00A955F8" w:rsidRPr="00D740AA" w:rsidRDefault="00A955F8" w:rsidP="00DA7EBE">
            <w:pPr>
              <w:spacing w:after="0" w:line="240" w:lineRule="auto"/>
              <w:jc w:val="center"/>
              <w:rPr>
                <w:rFonts w:ascii="Arial Narrow" w:eastAsia="Times New Roman" w:hAnsi="Arial Narrow" w:cs="Calibri"/>
                <w:b/>
                <w:bCs/>
                <w:color w:val="000000"/>
                <w:sz w:val="18"/>
                <w:szCs w:val="18"/>
              </w:rPr>
            </w:pPr>
          </w:p>
        </w:tc>
        <w:tc>
          <w:tcPr>
            <w:tcW w:w="5040" w:type="dxa"/>
            <w:shd w:val="clear" w:color="auto" w:fill="2F5496" w:themeFill="accent5" w:themeFillShade="BF"/>
            <w:vAlign w:val="bottom"/>
            <w:hideMark/>
          </w:tcPr>
          <w:p w14:paraId="45E66A08" w14:textId="77777777" w:rsidR="00A955F8" w:rsidRPr="00677180" w:rsidRDefault="00A955F8" w:rsidP="00DA7EBE">
            <w:pPr>
              <w:spacing w:after="0" w:line="240" w:lineRule="auto"/>
              <w:jc w:val="center"/>
              <w:rPr>
                <w:rFonts w:ascii="Arial Narrow" w:eastAsia="Times New Roman" w:hAnsi="Arial Narrow" w:cs="Calibri"/>
                <w:b/>
                <w:bCs/>
                <w:color w:val="FFFFFF" w:themeColor="background1"/>
                <w:sz w:val="24"/>
                <w:szCs w:val="24"/>
              </w:rPr>
            </w:pPr>
            <w:r>
              <w:rPr>
                <w:rFonts w:ascii="Arial Narrow" w:eastAsia="Times New Roman" w:hAnsi="Arial Narrow" w:cs="Calibri"/>
                <w:b/>
                <w:bCs/>
                <w:color w:val="FFFFFF" w:themeColor="background1"/>
                <w:sz w:val="24"/>
                <w:szCs w:val="24"/>
              </w:rPr>
              <w:t>Column Description</w:t>
            </w:r>
          </w:p>
          <w:p w14:paraId="337E8EAC" w14:textId="77777777" w:rsidR="00A955F8" w:rsidRPr="00AC27C5" w:rsidRDefault="00A955F8" w:rsidP="00DA7EBE">
            <w:pPr>
              <w:spacing w:after="0" w:line="240" w:lineRule="auto"/>
              <w:jc w:val="center"/>
              <w:rPr>
                <w:rFonts w:ascii="Arial Narrow" w:eastAsia="Times New Roman" w:hAnsi="Arial Narrow" w:cs="Calibri"/>
                <w:b/>
                <w:bCs/>
                <w:color w:val="000000"/>
                <w:sz w:val="24"/>
                <w:szCs w:val="24"/>
              </w:rPr>
            </w:pPr>
          </w:p>
        </w:tc>
        <w:tc>
          <w:tcPr>
            <w:tcW w:w="7020" w:type="dxa"/>
            <w:shd w:val="clear" w:color="auto" w:fill="2F5496" w:themeFill="accent5" w:themeFillShade="BF"/>
          </w:tcPr>
          <w:p w14:paraId="19342731" w14:textId="77777777" w:rsidR="00A955F8" w:rsidRDefault="00A955F8" w:rsidP="00DA7EBE">
            <w:pPr>
              <w:spacing w:after="0" w:line="240" w:lineRule="auto"/>
              <w:jc w:val="center"/>
              <w:rPr>
                <w:rFonts w:ascii="Arial Narrow" w:eastAsia="Times New Roman" w:hAnsi="Arial Narrow" w:cs="Calibri"/>
                <w:b/>
                <w:bCs/>
                <w:color w:val="FFFFFF" w:themeColor="background1"/>
                <w:sz w:val="24"/>
                <w:szCs w:val="24"/>
              </w:rPr>
            </w:pPr>
          </w:p>
          <w:p w14:paraId="00D039F4" w14:textId="77777777" w:rsidR="00A955F8" w:rsidRPr="00677180" w:rsidRDefault="00A955F8" w:rsidP="00DA7EBE">
            <w:pPr>
              <w:spacing w:after="0" w:line="240" w:lineRule="auto"/>
              <w:jc w:val="center"/>
              <w:rPr>
                <w:rFonts w:ascii="Arial Narrow" w:eastAsia="Times New Roman" w:hAnsi="Arial Narrow" w:cs="Calibri"/>
                <w:b/>
                <w:bCs/>
                <w:color w:val="FFFFFF" w:themeColor="background1"/>
                <w:sz w:val="24"/>
                <w:szCs w:val="24"/>
              </w:rPr>
            </w:pPr>
            <w:r>
              <w:rPr>
                <w:rFonts w:ascii="Arial Narrow" w:eastAsia="Times New Roman" w:hAnsi="Arial Narrow" w:cs="Calibri"/>
                <w:b/>
                <w:bCs/>
                <w:color w:val="FFFFFF" w:themeColor="background1"/>
                <w:sz w:val="24"/>
                <w:szCs w:val="24"/>
              </w:rPr>
              <w:t>Scoring  Metric</w:t>
            </w:r>
          </w:p>
        </w:tc>
      </w:tr>
      <w:tr w:rsidR="00A955F8" w:rsidRPr="00C740EA" w14:paraId="3AB9BBC5" w14:textId="77777777" w:rsidTr="00DA7EBE">
        <w:trPr>
          <w:cantSplit/>
          <w:trHeight w:val="314"/>
          <w:tblHeader/>
          <w:jc w:val="center"/>
        </w:trPr>
        <w:tc>
          <w:tcPr>
            <w:tcW w:w="1975" w:type="dxa"/>
            <w:shd w:val="clear" w:color="auto" w:fill="auto"/>
          </w:tcPr>
          <w:p w14:paraId="2ED4DA44" w14:textId="77777777" w:rsidR="00A955F8" w:rsidRPr="007E2520" w:rsidRDefault="00A955F8" w:rsidP="003413D6">
            <w:pPr>
              <w:spacing w:after="0" w:line="240" w:lineRule="auto"/>
              <w:rPr>
                <w:rFonts w:ascii="Calibri" w:eastAsia="Times New Roman" w:hAnsi="Calibri" w:cs="Calibri"/>
                <w:b/>
                <w:color w:val="000000"/>
                <w:sz w:val="18"/>
                <w:szCs w:val="18"/>
              </w:rPr>
            </w:pPr>
            <w:r w:rsidRPr="007E2520">
              <w:rPr>
                <w:rFonts w:ascii="Calibri" w:eastAsia="Times New Roman" w:hAnsi="Calibri" w:cs="Calibri"/>
                <w:b/>
                <w:color w:val="000000"/>
                <w:sz w:val="18"/>
                <w:szCs w:val="18"/>
              </w:rPr>
              <w:t>Agency Name</w:t>
            </w:r>
          </w:p>
        </w:tc>
        <w:tc>
          <w:tcPr>
            <w:tcW w:w="5040" w:type="dxa"/>
            <w:shd w:val="clear" w:color="auto" w:fill="auto"/>
          </w:tcPr>
          <w:p w14:paraId="36C62863" w14:textId="77777777" w:rsidR="00A955F8" w:rsidRDefault="00A955F8" w:rsidP="00EE0E0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This is the agency name as it appears on the license</w:t>
            </w:r>
          </w:p>
          <w:p w14:paraId="6B0834F4" w14:textId="77777777" w:rsidR="00A955F8" w:rsidRDefault="00A955F8" w:rsidP="00EE0E0A">
            <w:pPr>
              <w:spacing w:after="0" w:line="240" w:lineRule="auto"/>
              <w:rPr>
                <w:rFonts w:ascii="Calibri" w:eastAsia="Times New Roman" w:hAnsi="Calibri" w:cs="Calibri"/>
                <w:color w:val="000000"/>
                <w:sz w:val="18"/>
                <w:szCs w:val="18"/>
              </w:rPr>
            </w:pPr>
          </w:p>
        </w:tc>
        <w:tc>
          <w:tcPr>
            <w:tcW w:w="7020" w:type="dxa"/>
          </w:tcPr>
          <w:p w14:paraId="34E4706C" w14:textId="77777777" w:rsidR="00A955F8" w:rsidRDefault="00A955F8" w:rsidP="00EE0E0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A955F8" w:rsidRPr="00C740EA" w14:paraId="18CC6BA7" w14:textId="77777777" w:rsidTr="00DA7EBE">
        <w:trPr>
          <w:cantSplit/>
          <w:trHeight w:val="314"/>
          <w:tblHeader/>
          <w:jc w:val="center"/>
        </w:trPr>
        <w:tc>
          <w:tcPr>
            <w:tcW w:w="1975" w:type="dxa"/>
            <w:shd w:val="clear" w:color="auto" w:fill="auto"/>
            <w:hideMark/>
          </w:tcPr>
          <w:p w14:paraId="02655AEC" w14:textId="77777777" w:rsidR="00A955F8" w:rsidRPr="007E2520" w:rsidRDefault="00A955F8" w:rsidP="003413D6">
            <w:pPr>
              <w:spacing w:after="0" w:line="240" w:lineRule="auto"/>
              <w:rPr>
                <w:rFonts w:ascii="Calibri" w:eastAsia="Times New Roman" w:hAnsi="Calibri" w:cs="Calibri"/>
                <w:b/>
                <w:color w:val="000000"/>
                <w:sz w:val="18"/>
                <w:szCs w:val="18"/>
              </w:rPr>
            </w:pPr>
            <w:r w:rsidRPr="007E2520">
              <w:rPr>
                <w:rFonts w:ascii="Calibri" w:eastAsia="Times New Roman" w:hAnsi="Calibri" w:cs="Calibri"/>
                <w:b/>
                <w:color w:val="000000"/>
                <w:sz w:val="18"/>
                <w:szCs w:val="18"/>
              </w:rPr>
              <w:t>Number of Homes</w:t>
            </w:r>
          </w:p>
        </w:tc>
        <w:tc>
          <w:tcPr>
            <w:tcW w:w="5040" w:type="dxa"/>
            <w:shd w:val="clear" w:color="auto" w:fill="auto"/>
            <w:hideMark/>
          </w:tcPr>
          <w:p w14:paraId="055DC7DC" w14:textId="77777777" w:rsidR="00A955F8" w:rsidRDefault="00A955F8" w:rsidP="00EE0E0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This represents the n</w:t>
            </w:r>
            <w:r w:rsidRPr="008F4274">
              <w:rPr>
                <w:rFonts w:ascii="Calibri" w:eastAsia="Times New Roman" w:hAnsi="Calibri" w:cs="Calibri"/>
                <w:color w:val="000000"/>
                <w:sz w:val="18"/>
                <w:szCs w:val="18"/>
              </w:rPr>
              <w:t xml:space="preserve">umber </w:t>
            </w:r>
            <w:r>
              <w:rPr>
                <w:rFonts w:ascii="Calibri" w:eastAsia="Times New Roman" w:hAnsi="Calibri" w:cs="Calibri"/>
                <w:color w:val="000000"/>
                <w:sz w:val="18"/>
                <w:szCs w:val="18"/>
              </w:rPr>
              <w:t>of h</w:t>
            </w:r>
            <w:r w:rsidRPr="008F4274">
              <w:rPr>
                <w:rFonts w:ascii="Calibri" w:eastAsia="Times New Roman" w:hAnsi="Calibri" w:cs="Calibri"/>
                <w:color w:val="000000"/>
                <w:sz w:val="18"/>
                <w:szCs w:val="18"/>
              </w:rPr>
              <w:t>omes or apartments/group of apartments (sometimes a license includes several separate apartments)</w:t>
            </w:r>
            <w:r>
              <w:rPr>
                <w:rFonts w:ascii="Calibri" w:eastAsia="Times New Roman" w:hAnsi="Calibri" w:cs="Calibri"/>
                <w:color w:val="000000"/>
                <w:sz w:val="18"/>
                <w:szCs w:val="18"/>
              </w:rPr>
              <w:t>, that an agency has licenses for.</w:t>
            </w:r>
          </w:p>
          <w:p w14:paraId="79C8F845" w14:textId="77777777" w:rsidR="00A955F8" w:rsidRPr="00D740AA" w:rsidRDefault="00A955F8" w:rsidP="00EE0E0A">
            <w:pPr>
              <w:spacing w:after="0" w:line="240" w:lineRule="auto"/>
              <w:rPr>
                <w:rFonts w:ascii="Calibri" w:eastAsia="Times New Roman" w:hAnsi="Calibri" w:cs="Calibri"/>
                <w:color w:val="000000"/>
                <w:sz w:val="18"/>
                <w:szCs w:val="18"/>
              </w:rPr>
            </w:pPr>
          </w:p>
        </w:tc>
        <w:tc>
          <w:tcPr>
            <w:tcW w:w="7020" w:type="dxa"/>
          </w:tcPr>
          <w:p w14:paraId="2DE96C7D" w14:textId="77777777" w:rsidR="00A955F8" w:rsidRDefault="00A955F8" w:rsidP="00EE0E0A">
            <w:pPr>
              <w:spacing w:after="0" w:line="240" w:lineRule="auto"/>
              <w:rPr>
                <w:rFonts w:ascii="Calibri" w:eastAsia="Times New Roman" w:hAnsi="Calibri" w:cs="Calibri"/>
                <w:color w:val="000000"/>
                <w:sz w:val="18"/>
                <w:szCs w:val="18"/>
              </w:rPr>
            </w:pPr>
          </w:p>
          <w:p w14:paraId="6EF3C4A9" w14:textId="77777777" w:rsidR="00A955F8" w:rsidRDefault="00A955F8" w:rsidP="00EE0E0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A955F8" w:rsidRPr="00C740EA" w14:paraId="669EC2CA" w14:textId="77777777" w:rsidTr="00DA7EBE">
        <w:trPr>
          <w:cantSplit/>
          <w:trHeight w:val="350"/>
          <w:tblHeader/>
          <w:jc w:val="center"/>
        </w:trPr>
        <w:tc>
          <w:tcPr>
            <w:tcW w:w="1975" w:type="dxa"/>
            <w:shd w:val="clear" w:color="auto" w:fill="auto"/>
            <w:hideMark/>
          </w:tcPr>
          <w:p w14:paraId="754A9AA4" w14:textId="77777777" w:rsidR="00A955F8" w:rsidRPr="007E2520" w:rsidRDefault="00A955F8" w:rsidP="003413D6">
            <w:pPr>
              <w:spacing w:after="0" w:line="240" w:lineRule="auto"/>
              <w:rPr>
                <w:rFonts w:ascii="Calibri" w:eastAsia="Times New Roman" w:hAnsi="Calibri" w:cs="Calibri"/>
                <w:b/>
                <w:color w:val="000000"/>
                <w:sz w:val="18"/>
                <w:szCs w:val="18"/>
              </w:rPr>
            </w:pPr>
            <w:r w:rsidRPr="007E2520">
              <w:rPr>
                <w:rFonts w:ascii="Calibri" w:eastAsia="Times New Roman" w:hAnsi="Calibri" w:cs="Calibri"/>
                <w:b/>
                <w:color w:val="000000"/>
                <w:sz w:val="18"/>
                <w:szCs w:val="18"/>
              </w:rPr>
              <w:t xml:space="preserve">Number of People Who Can Live in the Homes </w:t>
            </w:r>
          </w:p>
        </w:tc>
        <w:tc>
          <w:tcPr>
            <w:tcW w:w="5040" w:type="dxa"/>
            <w:shd w:val="clear" w:color="auto" w:fill="auto"/>
            <w:hideMark/>
          </w:tcPr>
          <w:p w14:paraId="4A1B6F87" w14:textId="77777777" w:rsidR="00A955F8" w:rsidRDefault="00A955F8" w:rsidP="00EE0E0A">
            <w:pPr>
              <w:spacing w:after="0" w:line="240" w:lineRule="auto"/>
              <w:rPr>
                <w:rFonts w:ascii="Calibri" w:eastAsia="Times New Roman" w:hAnsi="Calibri" w:cs="Calibri"/>
                <w:color w:val="000000"/>
                <w:sz w:val="18"/>
                <w:szCs w:val="18"/>
              </w:rPr>
            </w:pPr>
            <w:r w:rsidRPr="00D740AA">
              <w:rPr>
                <w:rFonts w:ascii="Calibri" w:eastAsia="Times New Roman" w:hAnsi="Calibri" w:cs="Calibri"/>
                <w:color w:val="000000"/>
                <w:sz w:val="18"/>
                <w:szCs w:val="18"/>
              </w:rPr>
              <w:t>T</w:t>
            </w:r>
            <w:r>
              <w:rPr>
                <w:rFonts w:ascii="Calibri" w:eastAsia="Times New Roman" w:hAnsi="Calibri" w:cs="Calibri"/>
                <w:color w:val="000000"/>
                <w:sz w:val="18"/>
                <w:szCs w:val="18"/>
              </w:rPr>
              <w:t xml:space="preserve">his </w:t>
            </w:r>
            <w:r w:rsidRPr="00D740AA">
              <w:rPr>
                <w:rFonts w:ascii="Calibri" w:eastAsia="Times New Roman" w:hAnsi="Calibri" w:cs="Calibri"/>
                <w:color w:val="000000"/>
                <w:sz w:val="18"/>
                <w:szCs w:val="18"/>
              </w:rPr>
              <w:t xml:space="preserve">reflects </w:t>
            </w:r>
            <w:r>
              <w:rPr>
                <w:rFonts w:ascii="Calibri" w:eastAsia="Times New Roman" w:hAnsi="Calibri" w:cs="Calibri"/>
                <w:color w:val="000000"/>
                <w:sz w:val="18"/>
                <w:szCs w:val="18"/>
              </w:rPr>
              <w:t>the maximum number of people the agency is licensed to provide residential services to.</w:t>
            </w:r>
          </w:p>
          <w:p w14:paraId="199261E4" w14:textId="77777777" w:rsidR="00A955F8" w:rsidRPr="00D740AA" w:rsidRDefault="00A955F8" w:rsidP="00EE0E0A">
            <w:pPr>
              <w:spacing w:after="0" w:line="240" w:lineRule="auto"/>
              <w:rPr>
                <w:rFonts w:ascii="Calibri" w:eastAsia="Times New Roman" w:hAnsi="Calibri" w:cs="Calibri"/>
                <w:color w:val="000000"/>
                <w:sz w:val="18"/>
                <w:szCs w:val="18"/>
              </w:rPr>
            </w:pPr>
          </w:p>
        </w:tc>
        <w:tc>
          <w:tcPr>
            <w:tcW w:w="7020" w:type="dxa"/>
          </w:tcPr>
          <w:p w14:paraId="1FC2251F" w14:textId="77777777" w:rsidR="00A955F8" w:rsidRDefault="00A955F8" w:rsidP="00EE0E0A">
            <w:pPr>
              <w:spacing w:after="0" w:line="240" w:lineRule="auto"/>
              <w:rPr>
                <w:rFonts w:ascii="Calibri" w:eastAsia="Times New Roman" w:hAnsi="Calibri" w:cs="Calibri"/>
                <w:color w:val="000000"/>
                <w:sz w:val="18"/>
                <w:szCs w:val="18"/>
              </w:rPr>
            </w:pPr>
          </w:p>
          <w:p w14:paraId="7616E010" w14:textId="77777777" w:rsidR="00A955F8" w:rsidRPr="00D740AA" w:rsidRDefault="00A955F8" w:rsidP="00EE0E0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A955F8" w:rsidRPr="00C740EA" w14:paraId="422F70D1" w14:textId="77777777" w:rsidTr="00DA7EBE">
        <w:trPr>
          <w:cantSplit/>
          <w:trHeight w:val="350"/>
          <w:tblHeader/>
          <w:jc w:val="center"/>
        </w:trPr>
        <w:tc>
          <w:tcPr>
            <w:tcW w:w="1975" w:type="dxa"/>
            <w:shd w:val="clear" w:color="auto" w:fill="auto"/>
            <w:hideMark/>
          </w:tcPr>
          <w:p w14:paraId="73A3BEAF" w14:textId="77777777" w:rsidR="00A955F8" w:rsidRPr="007E2520" w:rsidRDefault="00A955F8" w:rsidP="003413D6">
            <w:pPr>
              <w:spacing w:after="0" w:line="240" w:lineRule="auto"/>
              <w:rPr>
                <w:rFonts w:ascii="Calibri" w:eastAsia="Times New Roman" w:hAnsi="Calibri" w:cs="Calibri"/>
                <w:b/>
                <w:color w:val="000000"/>
                <w:sz w:val="18"/>
                <w:szCs w:val="18"/>
              </w:rPr>
            </w:pPr>
            <w:r w:rsidRPr="007E2520">
              <w:rPr>
                <w:rFonts w:ascii="Calibri" w:eastAsia="Times New Roman" w:hAnsi="Calibri" w:cs="Calibri"/>
                <w:b/>
                <w:color w:val="000000"/>
                <w:sz w:val="18"/>
                <w:szCs w:val="18"/>
              </w:rPr>
              <w:t>The Agency is Compliant with Health and Safety Standards</w:t>
            </w:r>
          </w:p>
        </w:tc>
        <w:tc>
          <w:tcPr>
            <w:tcW w:w="5040" w:type="dxa"/>
            <w:shd w:val="clear" w:color="auto" w:fill="auto"/>
            <w:hideMark/>
          </w:tcPr>
          <w:p w14:paraId="10591BC5" w14:textId="77777777" w:rsidR="00E61799" w:rsidRDefault="00EE0E0A" w:rsidP="00EE0E0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This represents a quantitative look at how well the agency did on its licensing inspection. If, during an inspection, the agency receives a number of deficiencies, they will receive a </w:t>
            </w:r>
            <w:r w:rsidR="00E61799">
              <w:rPr>
                <w:rFonts w:ascii="Calibri" w:eastAsia="Times New Roman" w:hAnsi="Calibri" w:cs="Calibri"/>
                <w:color w:val="000000"/>
                <w:sz w:val="18"/>
                <w:szCs w:val="18"/>
              </w:rPr>
              <w:t>*</w:t>
            </w:r>
            <w:r>
              <w:rPr>
                <w:rFonts w:ascii="Calibri" w:eastAsia="Times New Roman" w:hAnsi="Calibri" w:cs="Calibri"/>
                <w:color w:val="000000"/>
                <w:sz w:val="18"/>
                <w:szCs w:val="18"/>
              </w:rPr>
              <w:t>provisional license (instead of a full license</w:t>
            </w:r>
            <w:r w:rsidR="005D38D6">
              <w:rPr>
                <w:rFonts w:ascii="Calibri" w:eastAsia="Times New Roman" w:hAnsi="Calibri" w:cs="Calibri"/>
                <w:color w:val="000000"/>
                <w:sz w:val="18"/>
                <w:szCs w:val="18"/>
              </w:rPr>
              <w:t>)</w:t>
            </w:r>
            <w:r w:rsidR="00E61799">
              <w:rPr>
                <w:rFonts w:ascii="Calibri" w:eastAsia="Times New Roman" w:hAnsi="Calibri" w:cs="Calibri"/>
                <w:color w:val="000000"/>
                <w:sz w:val="18"/>
                <w:szCs w:val="18"/>
              </w:rPr>
              <w:t>.</w:t>
            </w:r>
          </w:p>
          <w:p w14:paraId="3974C11C" w14:textId="215D38CF" w:rsidR="00A955F8" w:rsidRPr="00D740AA" w:rsidRDefault="00EE0E0A" w:rsidP="00EE0E0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The program is re-inspected after, usually, 6 months to determine whether the deficiencies have been corrected.</w:t>
            </w:r>
          </w:p>
        </w:tc>
        <w:tc>
          <w:tcPr>
            <w:tcW w:w="7020" w:type="dxa"/>
          </w:tcPr>
          <w:p w14:paraId="4F2126EA" w14:textId="77777777" w:rsidR="00A955F8" w:rsidRPr="00082F17" w:rsidRDefault="00A955F8" w:rsidP="00EE0E0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If the agency received </w:t>
            </w:r>
            <w:r w:rsidRPr="00082F17">
              <w:rPr>
                <w:rFonts w:ascii="Calibri" w:eastAsia="Times New Roman" w:hAnsi="Calibri" w:cs="Calibri"/>
                <w:color w:val="000000"/>
                <w:sz w:val="18"/>
                <w:szCs w:val="18"/>
              </w:rPr>
              <w:t xml:space="preserve">0 provisional </w:t>
            </w:r>
            <w:r>
              <w:rPr>
                <w:rFonts w:ascii="Calibri" w:eastAsia="Times New Roman" w:hAnsi="Calibri" w:cs="Calibri"/>
                <w:color w:val="000000"/>
                <w:sz w:val="18"/>
                <w:szCs w:val="18"/>
              </w:rPr>
              <w:t xml:space="preserve">licenses </w:t>
            </w:r>
            <w:r w:rsidR="00594D33">
              <w:rPr>
                <w:rFonts w:ascii="Calibri" w:eastAsia="Times New Roman" w:hAnsi="Calibri" w:cs="Calibri"/>
                <w:b/>
                <w:color w:val="00B050"/>
                <w:sz w:val="18"/>
                <w:szCs w:val="18"/>
              </w:rPr>
              <w:t>3 green stars</w:t>
            </w:r>
            <w:r>
              <w:rPr>
                <w:rFonts w:ascii="Calibri" w:eastAsia="Times New Roman" w:hAnsi="Calibri" w:cs="Calibri"/>
                <w:color w:val="00B050"/>
                <w:sz w:val="18"/>
                <w:szCs w:val="18"/>
              </w:rPr>
              <w:t xml:space="preserve"> </w:t>
            </w:r>
            <w:r w:rsidR="00594D33">
              <w:rPr>
                <w:rFonts w:ascii="Calibri" w:eastAsia="Times New Roman" w:hAnsi="Calibri" w:cs="Calibri"/>
                <w:sz w:val="18"/>
                <w:szCs w:val="18"/>
              </w:rPr>
              <w:t>are</w:t>
            </w:r>
            <w:r w:rsidRPr="000C5826">
              <w:rPr>
                <w:rFonts w:ascii="Calibri" w:eastAsia="Times New Roman" w:hAnsi="Calibri" w:cs="Calibri"/>
                <w:sz w:val="18"/>
                <w:szCs w:val="18"/>
              </w:rPr>
              <w:t xml:space="preserve"> displayed</w:t>
            </w:r>
            <w:r w:rsidR="00AC15E8">
              <w:rPr>
                <w:rFonts w:ascii="Calibri" w:eastAsia="Times New Roman" w:hAnsi="Calibri" w:cs="Calibri"/>
                <w:sz w:val="18"/>
                <w:szCs w:val="18"/>
              </w:rPr>
              <w:t>.</w:t>
            </w:r>
          </w:p>
          <w:p w14:paraId="45DEAD62" w14:textId="77777777" w:rsidR="00A955F8" w:rsidRDefault="00A955F8" w:rsidP="00EE0E0A">
            <w:pPr>
              <w:spacing w:after="0" w:line="240" w:lineRule="auto"/>
              <w:rPr>
                <w:rFonts w:ascii="Calibri" w:eastAsia="Times New Roman" w:hAnsi="Calibri" w:cs="Calibri"/>
                <w:color w:val="000000"/>
                <w:sz w:val="18"/>
                <w:szCs w:val="18"/>
              </w:rPr>
            </w:pPr>
            <w:r w:rsidRPr="000C5826">
              <w:rPr>
                <w:rFonts w:ascii="Calibri" w:eastAsia="Times New Roman" w:hAnsi="Calibri" w:cs="Calibri"/>
                <w:color w:val="000000"/>
                <w:sz w:val="18"/>
                <w:szCs w:val="18"/>
              </w:rPr>
              <w:t xml:space="preserve">If </w:t>
            </w:r>
            <w:r>
              <w:rPr>
                <w:rFonts w:ascii="Calibri" w:eastAsia="Times New Roman" w:hAnsi="Calibri" w:cs="Calibri"/>
                <w:color w:val="000000"/>
                <w:sz w:val="18"/>
                <w:szCs w:val="18"/>
              </w:rPr>
              <w:t>between 1% and</w:t>
            </w:r>
            <w:r w:rsidRPr="00082F17">
              <w:rPr>
                <w:rFonts w:ascii="Calibri" w:eastAsia="Times New Roman" w:hAnsi="Calibri" w:cs="Calibri"/>
                <w:color w:val="000000"/>
                <w:sz w:val="18"/>
                <w:szCs w:val="18"/>
              </w:rPr>
              <w:t xml:space="preserve"> 9% </w:t>
            </w:r>
            <w:r>
              <w:rPr>
                <w:rFonts w:ascii="Calibri" w:eastAsia="Times New Roman" w:hAnsi="Calibri" w:cs="Calibri"/>
                <w:color w:val="000000"/>
                <w:sz w:val="18"/>
                <w:szCs w:val="18"/>
              </w:rPr>
              <w:t xml:space="preserve">of all the licenses issued were provisional (meaning there were problems to correct) </w:t>
            </w:r>
            <w:r w:rsidRPr="002944AD">
              <w:rPr>
                <w:rFonts w:ascii="Calibri" w:eastAsia="Times New Roman" w:hAnsi="Calibri" w:cs="Calibri"/>
                <w:b/>
                <w:color w:val="FFC000" w:themeColor="accent4"/>
                <w:sz w:val="18"/>
                <w:szCs w:val="18"/>
              </w:rPr>
              <w:t>2 yellow stars</w:t>
            </w:r>
            <w:r>
              <w:rPr>
                <w:rFonts w:ascii="Calibri" w:eastAsia="Times New Roman" w:hAnsi="Calibri" w:cs="Calibri"/>
                <w:color w:val="FFC000" w:themeColor="accent4"/>
                <w:sz w:val="18"/>
                <w:szCs w:val="18"/>
              </w:rPr>
              <w:t xml:space="preserve"> </w:t>
            </w:r>
            <w:r>
              <w:rPr>
                <w:rFonts w:ascii="Calibri" w:eastAsia="Times New Roman" w:hAnsi="Calibri" w:cs="Calibri"/>
                <w:sz w:val="18"/>
                <w:szCs w:val="18"/>
              </w:rPr>
              <w:t>are</w:t>
            </w:r>
            <w:r w:rsidRPr="000C5826">
              <w:rPr>
                <w:rFonts w:ascii="Calibri" w:eastAsia="Times New Roman" w:hAnsi="Calibri" w:cs="Calibri"/>
                <w:sz w:val="18"/>
                <w:szCs w:val="18"/>
              </w:rPr>
              <w:t xml:space="preserve"> displayed</w:t>
            </w:r>
            <w:r>
              <w:rPr>
                <w:rFonts w:ascii="Calibri" w:eastAsia="Times New Roman" w:hAnsi="Calibri" w:cs="Calibri"/>
                <w:sz w:val="18"/>
                <w:szCs w:val="18"/>
              </w:rPr>
              <w:t xml:space="preserve">. </w:t>
            </w:r>
          </w:p>
          <w:p w14:paraId="0AAE624B" w14:textId="77777777" w:rsidR="00A955F8" w:rsidRPr="00082F17" w:rsidRDefault="00A955F8" w:rsidP="00EE0E0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If an agency received </w:t>
            </w:r>
            <w:r w:rsidRPr="00082F17">
              <w:rPr>
                <w:rFonts w:ascii="Calibri" w:eastAsia="Times New Roman" w:hAnsi="Calibri" w:cs="Calibri"/>
                <w:color w:val="000000"/>
                <w:sz w:val="18"/>
                <w:szCs w:val="18"/>
              </w:rPr>
              <w:t>10% or more provisional</w:t>
            </w:r>
            <w:r>
              <w:rPr>
                <w:rFonts w:ascii="Calibri" w:eastAsia="Times New Roman" w:hAnsi="Calibri" w:cs="Calibri"/>
                <w:color w:val="000000"/>
                <w:sz w:val="18"/>
                <w:szCs w:val="18"/>
              </w:rPr>
              <w:t xml:space="preserve"> licenses during the reporting period </w:t>
            </w:r>
            <w:r w:rsidRPr="002944AD">
              <w:rPr>
                <w:rFonts w:ascii="Calibri" w:eastAsia="Times New Roman" w:hAnsi="Calibri" w:cs="Calibri"/>
                <w:b/>
                <w:color w:val="FF0000"/>
                <w:sz w:val="18"/>
                <w:szCs w:val="18"/>
              </w:rPr>
              <w:t>1 red star</w:t>
            </w:r>
            <w:r w:rsidRPr="002944AD">
              <w:rPr>
                <w:rFonts w:ascii="Calibri" w:eastAsia="Times New Roman" w:hAnsi="Calibri" w:cs="Calibri"/>
                <w:color w:val="FF0000"/>
                <w:sz w:val="18"/>
                <w:szCs w:val="18"/>
              </w:rPr>
              <w:t xml:space="preserve"> </w:t>
            </w:r>
            <w:r>
              <w:rPr>
                <w:rFonts w:ascii="Calibri" w:eastAsia="Times New Roman" w:hAnsi="Calibri" w:cs="Calibri"/>
                <w:color w:val="000000"/>
                <w:sz w:val="18"/>
                <w:szCs w:val="18"/>
              </w:rPr>
              <w:t>is displayed</w:t>
            </w:r>
            <w:r w:rsidR="00AC15E8">
              <w:rPr>
                <w:rFonts w:ascii="Calibri" w:eastAsia="Times New Roman" w:hAnsi="Calibri" w:cs="Calibri"/>
                <w:color w:val="000000"/>
                <w:sz w:val="18"/>
                <w:szCs w:val="18"/>
              </w:rPr>
              <w:t>.</w:t>
            </w:r>
          </w:p>
          <w:p w14:paraId="5EFD9AFB" w14:textId="77777777" w:rsidR="00A955F8" w:rsidRDefault="00A955F8" w:rsidP="00EE0E0A">
            <w:pPr>
              <w:spacing w:after="0" w:line="240" w:lineRule="auto"/>
              <w:rPr>
                <w:rFonts w:ascii="Calibri" w:eastAsia="Times New Roman" w:hAnsi="Calibri" w:cs="Calibri"/>
                <w:color w:val="000000"/>
                <w:sz w:val="18"/>
                <w:szCs w:val="18"/>
              </w:rPr>
            </w:pPr>
          </w:p>
        </w:tc>
      </w:tr>
      <w:tr w:rsidR="00A955F8" w:rsidRPr="00C740EA" w14:paraId="609AE4E6" w14:textId="77777777" w:rsidTr="00DA7EBE">
        <w:trPr>
          <w:cantSplit/>
          <w:trHeight w:val="350"/>
          <w:tblHeader/>
          <w:jc w:val="center"/>
        </w:trPr>
        <w:tc>
          <w:tcPr>
            <w:tcW w:w="1975" w:type="dxa"/>
            <w:shd w:val="clear" w:color="auto" w:fill="auto"/>
            <w:hideMark/>
          </w:tcPr>
          <w:p w14:paraId="3107CF67" w14:textId="77777777" w:rsidR="00A955F8" w:rsidRPr="007E2520" w:rsidRDefault="00A955F8" w:rsidP="003413D6">
            <w:pPr>
              <w:spacing w:after="0" w:line="240" w:lineRule="auto"/>
              <w:rPr>
                <w:rFonts w:ascii="Calibri" w:eastAsia="Times New Roman" w:hAnsi="Calibri" w:cs="Calibri"/>
                <w:b/>
                <w:color w:val="000000"/>
                <w:sz w:val="18"/>
                <w:szCs w:val="18"/>
              </w:rPr>
            </w:pPr>
            <w:r w:rsidRPr="007E2520">
              <w:rPr>
                <w:rFonts w:ascii="Calibri" w:eastAsia="Times New Roman" w:hAnsi="Calibri" w:cs="Calibri"/>
                <w:b/>
                <w:color w:val="000000"/>
                <w:sz w:val="18"/>
                <w:szCs w:val="18"/>
              </w:rPr>
              <w:t xml:space="preserve">The Agency Corrects Licensing Deficiencies in a Timely Manner </w:t>
            </w:r>
          </w:p>
        </w:tc>
        <w:tc>
          <w:tcPr>
            <w:tcW w:w="5040" w:type="dxa"/>
            <w:shd w:val="clear" w:color="auto" w:fill="auto"/>
          </w:tcPr>
          <w:p w14:paraId="13AC7537" w14:textId="77777777" w:rsidR="00A955F8" w:rsidRDefault="00A955F8" w:rsidP="00EE0E0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When an agency is issued a provisional license, they are expected to correct the issues and are re-inspected in six months. If the issues are not adequately addressed, another provisional license, called a “repeat provisional” is issued with a shorter time frame given to improve. </w:t>
            </w:r>
          </w:p>
          <w:p w14:paraId="5A198DCE" w14:textId="77777777" w:rsidR="00A955F8" w:rsidRPr="00D740AA" w:rsidRDefault="00A955F8" w:rsidP="00EE0E0A">
            <w:pPr>
              <w:spacing w:after="0" w:line="240" w:lineRule="auto"/>
              <w:rPr>
                <w:rFonts w:ascii="Calibri" w:eastAsia="Times New Roman" w:hAnsi="Calibri" w:cs="Calibri"/>
                <w:color w:val="000000"/>
                <w:sz w:val="18"/>
                <w:szCs w:val="18"/>
              </w:rPr>
            </w:pPr>
          </w:p>
        </w:tc>
        <w:tc>
          <w:tcPr>
            <w:tcW w:w="7020" w:type="dxa"/>
          </w:tcPr>
          <w:p w14:paraId="2161F4F9" w14:textId="77777777" w:rsidR="00A955F8" w:rsidRPr="00C8125B" w:rsidRDefault="00A955F8" w:rsidP="00EE0E0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If an agency received </w:t>
            </w:r>
            <w:r w:rsidRPr="00C8125B">
              <w:rPr>
                <w:rFonts w:ascii="Calibri" w:eastAsia="Times New Roman" w:hAnsi="Calibri" w:cs="Calibri"/>
                <w:color w:val="000000"/>
                <w:sz w:val="18"/>
                <w:szCs w:val="18"/>
              </w:rPr>
              <w:t>0 repeat provisional</w:t>
            </w:r>
            <w:r>
              <w:rPr>
                <w:rFonts w:ascii="Calibri" w:eastAsia="Times New Roman" w:hAnsi="Calibri" w:cs="Calibri"/>
                <w:color w:val="000000"/>
                <w:sz w:val="18"/>
                <w:szCs w:val="18"/>
              </w:rPr>
              <w:t xml:space="preserve"> licenses </w:t>
            </w:r>
            <w:r w:rsidR="00594D33">
              <w:rPr>
                <w:rFonts w:ascii="Calibri" w:eastAsia="Times New Roman" w:hAnsi="Calibri" w:cs="Calibri"/>
                <w:b/>
                <w:color w:val="00B050"/>
                <w:sz w:val="18"/>
                <w:szCs w:val="18"/>
              </w:rPr>
              <w:t>3 green stars</w:t>
            </w:r>
            <w:r w:rsidRPr="00220955">
              <w:rPr>
                <w:rFonts w:ascii="Calibri" w:eastAsia="Times New Roman" w:hAnsi="Calibri" w:cs="Calibri"/>
                <w:color w:val="00B050"/>
                <w:sz w:val="18"/>
                <w:szCs w:val="18"/>
              </w:rPr>
              <w:t xml:space="preserve"> </w:t>
            </w:r>
            <w:r w:rsidR="00594D33">
              <w:rPr>
                <w:rFonts w:ascii="Calibri" w:eastAsia="Times New Roman" w:hAnsi="Calibri" w:cs="Calibri"/>
                <w:color w:val="000000"/>
                <w:sz w:val="18"/>
                <w:szCs w:val="18"/>
              </w:rPr>
              <w:t>are</w:t>
            </w:r>
            <w:r>
              <w:rPr>
                <w:rFonts w:ascii="Calibri" w:eastAsia="Times New Roman" w:hAnsi="Calibri" w:cs="Calibri"/>
                <w:color w:val="000000"/>
                <w:sz w:val="18"/>
                <w:szCs w:val="18"/>
              </w:rPr>
              <w:t xml:space="preserve"> displayed.</w:t>
            </w:r>
          </w:p>
          <w:p w14:paraId="45FFC5D4" w14:textId="77777777" w:rsidR="00A955F8" w:rsidRPr="00C8125B" w:rsidRDefault="00A955F8" w:rsidP="00EE0E0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If an agency receives </w:t>
            </w:r>
            <w:r w:rsidRPr="00C8125B">
              <w:rPr>
                <w:rFonts w:ascii="Calibri" w:eastAsia="Times New Roman" w:hAnsi="Calibri" w:cs="Calibri"/>
                <w:color w:val="000000"/>
                <w:sz w:val="18"/>
                <w:szCs w:val="18"/>
              </w:rPr>
              <w:t xml:space="preserve">1 or more repeat provisional </w:t>
            </w:r>
            <w:r>
              <w:rPr>
                <w:rFonts w:ascii="Calibri" w:eastAsia="Times New Roman" w:hAnsi="Calibri" w:cs="Calibri"/>
                <w:color w:val="000000"/>
                <w:sz w:val="18"/>
                <w:szCs w:val="18"/>
              </w:rPr>
              <w:t xml:space="preserve">licenses </w:t>
            </w:r>
            <w:r w:rsidRPr="00220955">
              <w:rPr>
                <w:rFonts w:ascii="Calibri" w:eastAsia="Times New Roman" w:hAnsi="Calibri" w:cs="Calibri"/>
                <w:b/>
                <w:color w:val="FF0000"/>
                <w:sz w:val="18"/>
                <w:szCs w:val="18"/>
              </w:rPr>
              <w:t>1 red star</w:t>
            </w:r>
            <w:r w:rsidRPr="00220955">
              <w:rPr>
                <w:rFonts w:ascii="Calibri" w:eastAsia="Times New Roman" w:hAnsi="Calibri" w:cs="Calibri"/>
                <w:color w:val="FF0000"/>
                <w:sz w:val="18"/>
                <w:szCs w:val="18"/>
              </w:rPr>
              <w:t xml:space="preserve"> </w:t>
            </w:r>
            <w:r>
              <w:rPr>
                <w:rFonts w:ascii="Calibri" w:eastAsia="Times New Roman" w:hAnsi="Calibri" w:cs="Calibri"/>
                <w:color w:val="000000"/>
                <w:sz w:val="18"/>
                <w:szCs w:val="18"/>
              </w:rPr>
              <w:t>is displayed.</w:t>
            </w:r>
          </w:p>
          <w:p w14:paraId="005539E6" w14:textId="77777777" w:rsidR="00A955F8" w:rsidRPr="00D740AA" w:rsidRDefault="00A955F8" w:rsidP="00EE0E0A">
            <w:pPr>
              <w:spacing w:after="0" w:line="240" w:lineRule="auto"/>
              <w:rPr>
                <w:rFonts w:ascii="Calibri" w:eastAsia="Times New Roman" w:hAnsi="Calibri" w:cs="Calibri"/>
                <w:color w:val="000000"/>
                <w:sz w:val="18"/>
                <w:szCs w:val="18"/>
              </w:rPr>
            </w:pPr>
          </w:p>
        </w:tc>
      </w:tr>
      <w:tr w:rsidR="00A955F8" w:rsidRPr="00C740EA" w14:paraId="24AD4A03" w14:textId="77777777" w:rsidTr="00DA7EBE">
        <w:trPr>
          <w:cantSplit/>
          <w:trHeight w:val="530"/>
          <w:tblHeader/>
          <w:jc w:val="center"/>
        </w:trPr>
        <w:tc>
          <w:tcPr>
            <w:tcW w:w="1975" w:type="dxa"/>
            <w:shd w:val="clear" w:color="auto" w:fill="auto"/>
            <w:hideMark/>
          </w:tcPr>
          <w:p w14:paraId="314C3C2D" w14:textId="77777777" w:rsidR="00A955F8" w:rsidRPr="007E2520" w:rsidRDefault="00A955F8" w:rsidP="003413D6">
            <w:pPr>
              <w:spacing w:after="0" w:line="240" w:lineRule="auto"/>
              <w:rPr>
                <w:rFonts w:ascii="Calibri" w:eastAsia="Times New Roman" w:hAnsi="Calibri" w:cs="Calibri"/>
                <w:b/>
                <w:color w:val="000000"/>
                <w:sz w:val="18"/>
                <w:szCs w:val="18"/>
              </w:rPr>
            </w:pPr>
            <w:r w:rsidRPr="007E2520">
              <w:rPr>
                <w:rFonts w:ascii="Calibri" w:eastAsia="Times New Roman" w:hAnsi="Calibri" w:cs="Calibri"/>
                <w:b/>
                <w:color w:val="000000"/>
                <w:sz w:val="18"/>
                <w:szCs w:val="18"/>
              </w:rPr>
              <w:t>The A</w:t>
            </w:r>
            <w:r w:rsidR="008E7324">
              <w:rPr>
                <w:rFonts w:ascii="Calibri" w:eastAsia="Times New Roman" w:hAnsi="Calibri" w:cs="Calibri"/>
                <w:b/>
                <w:color w:val="000000"/>
                <w:sz w:val="18"/>
                <w:szCs w:val="18"/>
              </w:rPr>
              <w:t xml:space="preserve">gency Reports Critical Events to the Department </w:t>
            </w:r>
            <w:r w:rsidRPr="007E2520">
              <w:rPr>
                <w:rFonts w:ascii="Calibri" w:eastAsia="Times New Roman" w:hAnsi="Calibri" w:cs="Calibri"/>
                <w:b/>
                <w:color w:val="000000"/>
                <w:sz w:val="18"/>
                <w:szCs w:val="18"/>
              </w:rPr>
              <w:t xml:space="preserve"> in a Timely Manner</w:t>
            </w:r>
          </w:p>
        </w:tc>
        <w:tc>
          <w:tcPr>
            <w:tcW w:w="5040" w:type="dxa"/>
            <w:shd w:val="clear" w:color="auto" w:fill="auto"/>
            <w:hideMark/>
          </w:tcPr>
          <w:p w14:paraId="54AD4C6F" w14:textId="7FDA9585" w:rsidR="00A955F8" w:rsidRPr="00D740AA" w:rsidRDefault="00A955F8" w:rsidP="003413D6">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Agencies are expected to report critical </w:t>
            </w:r>
            <w:r w:rsidR="00E61799">
              <w:rPr>
                <w:rFonts w:ascii="Calibri" w:eastAsia="Times New Roman" w:hAnsi="Calibri" w:cs="Calibri"/>
                <w:color w:val="000000"/>
                <w:sz w:val="18"/>
                <w:szCs w:val="18"/>
              </w:rPr>
              <w:t>**</w:t>
            </w:r>
            <w:r>
              <w:rPr>
                <w:rFonts w:ascii="Calibri" w:eastAsia="Times New Roman" w:hAnsi="Calibri" w:cs="Calibri"/>
                <w:color w:val="000000"/>
                <w:sz w:val="18"/>
                <w:szCs w:val="18"/>
              </w:rPr>
              <w:t xml:space="preserve">incidents to the Department the same day or the next day. </w:t>
            </w:r>
          </w:p>
        </w:tc>
        <w:tc>
          <w:tcPr>
            <w:tcW w:w="7020" w:type="dxa"/>
          </w:tcPr>
          <w:p w14:paraId="175A201C" w14:textId="7DBC9A9A" w:rsidR="00A955F8" w:rsidRDefault="00A955F8" w:rsidP="00EE0E0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This is calculated by the</w:t>
            </w:r>
            <w:r w:rsidRPr="00473EAD">
              <w:rPr>
                <w:rFonts w:ascii="Calibri" w:eastAsia="Times New Roman" w:hAnsi="Calibri" w:cs="Calibri"/>
                <w:color w:val="000000"/>
                <w:sz w:val="18"/>
                <w:szCs w:val="18"/>
              </w:rPr>
              <w:t xml:space="preserve"> number of days between the date an incident is known to staff and </w:t>
            </w:r>
            <w:r>
              <w:rPr>
                <w:rFonts w:ascii="Calibri" w:eastAsia="Times New Roman" w:hAnsi="Calibri" w:cs="Calibri"/>
                <w:color w:val="000000"/>
                <w:sz w:val="18"/>
                <w:szCs w:val="18"/>
              </w:rPr>
              <w:t xml:space="preserve">the </w:t>
            </w:r>
            <w:r w:rsidRPr="00473EAD">
              <w:rPr>
                <w:rFonts w:ascii="Calibri" w:eastAsia="Times New Roman" w:hAnsi="Calibri" w:cs="Calibri"/>
                <w:color w:val="000000"/>
                <w:sz w:val="18"/>
                <w:szCs w:val="18"/>
              </w:rPr>
              <w:t xml:space="preserve">date an incident is reported to the </w:t>
            </w:r>
            <w:r w:rsidR="00AC15E8">
              <w:rPr>
                <w:rFonts w:ascii="Calibri" w:eastAsia="Times New Roman" w:hAnsi="Calibri" w:cs="Calibri"/>
                <w:color w:val="000000"/>
                <w:sz w:val="18"/>
                <w:szCs w:val="18"/>
              </w:rPr>
              <w:t>D</w:t>
            </w:r>
            <w:r w:rsidRPr="00473EAD">
              <w:rPr>
                <w:rFonts w:ascii="Calibri" w:eastAsia="Times New Roman" w:hAnsi="Calibri" w:cs="Calibri"/>
                <w:color w:val="000000"/>
                <w:sz w:val="18"/>
                <w:szCs w:val="18"/>
              </w:rPr>
              <w:t>epartment (for all the incidents reported during the report period)</w:t>
            </w:r>
            <w:r>
              <w:rPr>
                <w:rFonts w:ascii="Calibri" w:eastAsia="Times New Roman" w:hAnsi="Calibri" w:cs="Calibri"/>
                <w:color w:val="000000"/>
                <w:sz w:val="18"/>
                <w:szCs w:val="18"/>
              </w:rPr>
              <w:t>.</w:t>
            </w:r>
          </w:p>
          <w:p w14:paraId="778E8738" w14:textId="77777777" w:rsidR="00A955F8" w:rsidRPr="005557D8" w:rsidRDefault="00A955F8" w:rsidP="00EE0E0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If the median number of days to report is between 0 and 1.0 days, </w:t>
            </w:r>
            <w:r w:rsidRPr="00473EAD">
              <w:rPr>
                <w:rFonts w:ascii="Calibri" w:eastAsia="Times New Roman" w:hAnsi="Calibri" w:cs="Calibri"/>
                <w:b/>
                <w:color w:val="00B050"/>
                <w:sz w:val="18"/>
                <w:szCs w:val="18"/>
              </w:rPr>
              <w:t>3 green stars</w:t>
            </w:r>
            <w:r>
              <w:rPr>
                <w:rFonts w:ascii="Calibri" w:eastAsia="Times New Roman" w:hAnsi="Calibri" w:cs="Calibri"/>
                <w:color w:val="000000"/>
                <w:sz w:val="18"/>
                <w:szCs w:val="18"/>
              </w:rPr>
              <w:t xml:space="preserve"> are displayed</w:t>
            </w:r>
            <w:r w:rsidR="00AC15E8">
              <w:rPr>
                <w:rFonts w:ascii="Calibri" w:eastAsia="Times New Roman" w:hAnsi="Calibri" w:cs="Calibri"/>
                <w:color w:val="000000"/>
                <w:sz w:val="18"/>
                <w:szCs w:val="18"/>
              </w:rPr>
              <w:t>.</w:t>
            </w:r>
          </w:p>
          <w:p w14:paraId="31E66043" w14:textId="77777777" w:rsidR="00A955F8" w:rsidRPr="005557D8" w:rsidRDefault="00A955F8" w:rsidP="00EE0E0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If the median number </w:t>
            </w:r>
            <w:r w:rsidR="006E03D0">
              <w:rPr>
                <w:rFonts w:ascii="Calibri" w:eastAsia="Times New Roman" w:hAnsi="Calibri" w:cs="Calibri"/>
                <w:color w:val="000000"/>
                <w:sz w:val="18"/>
                <w:szCs w:val="18"/>
              </w:rPr>
              <w:t>of days to report is between 1.1</w:t>
            </w:r>
            <w:r>
              <w:rPr>
                <w:rFonts w:ascii="Calibri" w:eastAsia="Times New Roman" w:hAnsi="Calibri" w:cs="Calibri"/>
                <w:color w:val="000000"/>
                <w:sz w:val="18"/>
                <w:szCs w:val="18"/>
              </w:rPr>
              <w:t xml:space="preserve"> to 1.9 days, </w:t>
            </w:r>
            <w:r w:rsidRPr="00473EAD">
              <w:rPr>
                <w:rFonts w:ascii="Calibri" w:eastAsia="Times New Roman" w:hAnsi="Calibri" w:cs="Calibri"/>
                <w:b/>
                <w:color w:val="FFC000" w:themeColor="accent4"/>
                <w:sz w:val="18"/>
                <w:szCs w:val="18"/>
              </w:rPr>
              <w:t>2 yellow stars</w:t>
            </w:r>
            <w:r w:rsidRPr="00473EAD">
              <w:rPr>
                <w:rFonts w:ascii="Calibri" w:eastAsia="Times New Roman" w:hAnsi="Calibri" w:cs="Calibri"/>
                <w:color w:val="FFC000" w:themeColor="accent4"/>
                <w:sz w:val="18"/>
                <w:szCs w:val="18"/>
              </w:rPr>
              <w:t xml:space="preserve"> </w:t>
            </w:r>
            <w:r>
              <w:rPr>
                <w:rFonts w:ascii="Calibri" w:eastAsia="Times New Roman" w:hAnsi="Calibri" w:cs="Calibri"/>
                <w:color w:val="000000"/>
                <w:sz w:val="18"/>
                <w:szCs w:val="18"/>
              </w:rPr>
              <w:t>are displayed</w:t>
            </w:r>
            <w:r w:rsidR="00AC15E8">
              <w:rPr>
                <w:rFonts w:ascii="Calibri" w:eastAsia="Times New Roman" w:hAnsi="Calibri" w:cs="Calibri"/>
                <w:color w:val="000000"/>
                <w:sz w:val="18"/>
                <w:szCs w:val="18"/>
              </w:rPr>
              <w:t>.</w:t>
            </w:r>
          </w:p>
          <w:p w14:paraId="6E07B9FC" w14:textId="77777777" w:rsidR="00A955F8" w:rsidRPr="005557D8" w:rsidRDefault="00A955F8" w:rsidP="00EE0E0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If the median number of days to report is 2.0 or more days, </w:t>
            </w:r>
            <w:r w:rsidRPr="00473EAD">
              <w:rPr>
                <w:rFonts w:ascii="Calibri" w:eastAsia="Times New Roman" w:hAnsi="Calibri" w:cs="Calibri"/>
                <w:b/>
                <w:color w:val="FF0000"/>
                <w:sz w:val="18"/>
                <w:szCs w:val="18"/>
              </w:rPr>
              <w:t>1 red star</w:t>
            </w:r>
            <w:r w:rsidRPr="00473EAD">
              <w:rPr>
                <w:rFonts w:ascii="Calibri" w:eastAsia="Times New Roman" w:hAnsi="Calibri" w:cs="Calibri"/>
                <w:color w:val="FF0000"/>
                <w:sz w:val="18"/>
                <w:szCs w:val="18"/>
              </w:rPr>
              <w:t xml:space="preserve"> </w:t>
            </w:r>
            <w:r>
              <w:rPr>
                <w:rFonts w:ascii="Calibri" w:eastAsia="Times New Roman" w:hAnsi="Calibri" w:cs="Calibri"/>
                <w:color w:val="000000"/>
                <w:sz w:val="18"/>
                <w:szCs w:val="18"/>
              </w:rPr>
              <w:t>is displayed</w:t>
            </w:r>
            <w:r w:rsidR="00AC15E8">
              <w:rPr>
                <w:rFonts w:ascii="Calibri" w:eastAsia="Times New Roman" w:hAnsi="Calibri" w:cs="Calibri"/>
                <w:color w:val="000000"/>
                <w:sz w:val="18"/>
                <w:szCs w:val="18"/>
              </w:rPr>
              <w:t>.</w:t>
            </w:r>
          </w:p>
          <w:p w14:paraId="3976FBF9" w14:textId="77777777" w:rsidR="00A955F8" w:rsidRDefault="00A955F8" w:rsidP="00EE0E0A">
            <w:pPr>
              <w:spacing w:after="0" w:line="240" w:lineRule="auto"/>
              <w:rPr>
                <w:rFonts w:ascii="Calibri" w:eastAsia="Times New Roman" w:hAnsi="Calibri" w:cs="Calibri"/>
                <w:color w:val="000000"/>
                <w:sz w:val="18"/>
                <w:szCs w:val="18"/>
              </w:rPr>
            </w:pPr>
          </w:p>
        </w:tc>
      </w:tr>
      <w:tr w:rsidR="00A955F8" w:rsidRPr="00C740EA" w14:paraId="0E898ABD" w14:textId="77777777" w:rsidTr="00DA7EBE">
        <w:trPr>
          <w:cantSplit/>
          <w:trHeight w:val="530"/>
          <w:tblHeader/>
          <w:jc w:val="center"/>
        </w:trPr>
        <w:tc>
          <w:tcPr>
            <w:tcW w:w="1975" w:type="dxa"/>
            <w:shd w:val="clear" w:color="auto" w:fill="auto"/>
            <w:hideMark/>
          </w:tcPr>
          <w:p w14:paraId="26FD24AA" w14:textId="77777777" w:rsidR="00A955F8" w:rsidRPr="007E2520" w:rsidRDefault="00A955F8" w:rsidP="003413D6">
            <w:pPr>
              <w:spacing w:after="0" w:line="240" w:lineRule="auto"/>
              <w:rPr>
                <w:rFonts w:ascii="Calibri" w:eastAsia="Times New Roman" w:hAnsi="Calibri" w:cs="Calibri"/>
                <w:b/>
                <w:color w:val="000000"/>
                <w:sz w:val="18"/>
                <w:szCs w:val="18"/>
              </w:rPr>
            </w:pPr>
            <w:r w:rsidRPr="007E2520">
              <w:rPr>
                <w:rFonts w:ascii="Calibri" w:eastAsia="Times New Roman" w:hAnsi="Calibri" w:cs="Calibri"/>
                <w:b/>
                <w:color w:val="000000"/>
                <w:sz w:val="18"/>
                <w:szCs w:val="18"/>
              </w:rPr>
              <w:t>The Agency Follow</w:t>
            </w:r>
            <w:r w:rsidR="00A319FE">
              <w:rPr>
                <w:rFonts w:ascii="Calibri" w:eastAsia="Times New Roman" w:hAnsi="Calibri" w:cs="Calibri"/>
                <w:b/>
                <w:color w:val="000000"/>
                <w:sz w:val="18"/>
                <w:szCs w:val="18"/>
              </w:rPr>
              <w:t>s</w:t>
            </w:r>
            <w:r w:rsidRPr="007E2520">
              <w:rPr>
                <w:rFonts w:ascii="Calibri" w:eastAsia="Times New Roman" w:hAnsi="Calibri" w:cs="Calibri"/>
                <w:b/>
                <w:color w:val="000000"/>
                <w:sz w:val="18"/>
                <w:szCs w:val="18"/>
              </w:rPr>
              <w:t xml:space="preserve"> Up timely With Protective and Corrective Actions in Response to Critical Events</w:t>
            </w:r>
          </w:p>
        </w:tc>
        <w:tc>
          <w:tcPr>
            <w:tcW w:w="5040" w:type="dxa"/>
            <w:shd w:val="clear" w:color="auto" w:fill="auto"/>
            <w:hideMark/>
          </w:tcPr>
          <w:p w14:paraId="587463D9" w14:textId="300664E1" w:rsidR="00A955F8" w:rsidRPr="00D740AA" w:rsidRDefault="00A955F8" w:rsidP="00EE0E0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In some cases, the agency is required to send in a follow</w:t>
            </w:r>
            <w:r w:rsidR="00AC15E8">
              <w:rPr>
                <w:rFonts w:ascii="Calibri" w:eastAsia="Times New Roman" w:hAnsi="Calibri" w:cs="Calibri"/>
                <w:color w:val="000000"/>
                <w:sz w:val="18"/>
                <w:szCs w:val="18"/>
              </w:rPr>
              <w:t>-</w:t>
            </w:r>
            <w:r>
              <w:rPr>
                <w:rFonts w:ascii="Calibri" w:eastAsia="Times New Roman" w:hAnsi="Calibri" w:cs="Calibri"/>
                <w:color w:val="000000"/>
                <w:sz w:val="18"/>
                <w:szCs w:val="18"/>
              </w:rPr>
              <w:t>up report or internal investigation report to the Critical Incident Management Unit (CIMU) within 30 business days. The follow</w:t>
            </w:r>
            <w:r w:rsidR="00AC15E8">
              <w:rPr>
                <w:rFonts w:ascii="Calibri" w:eastAsia="Times New Roman" w:hAnsi="Calibri" w:cs="Calibri"/>
                <w:color w:val="000000"/>
                <w:sz w:val="18"/>
                <w:szCs w:val="18"/>
              </w:rPr>
              <w:t>-</w:t>
            </w:r>
            <w:r>
              <w:rPr>
                <w:rFonts w:ascii="Calibri" w:eastAsia="Times New Roman" w:hAnsi="Calibri" w:cs="Calibri"/>
                <w:color w:val="000000"/>
                <w:sz w:val="18"/>
                <w:szCs w:val="18"/>
              </w:rPr>
              <w:t>up report should include actions taken in response to the incident and the actions that are planned to prevent future occurrences.</w:t>
            </w:r>
          </w:p>
        </w:tc>
        <w:tc>
          <w:tcPr>
            <w:tcW w:w="7020" w:type="dxa"/>
          </w:tcPr>
          <w:p w14:paraId="042770B9" w14:textId="77777777" w:rsidR="00A955F8" w:rsidRDefault="00A955F8" w:rsidP="00EE0E0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If an agency submits the follow up reports and 0 to 10% of them were submitted late, </w:t>
            </w:r>
          </w:p>
          <w:p w14:paraId="781C2A77" w14:textId="77777777" w:rsidR="00A955F8" w:rsidRDefault="00A955F8" w:rsidP="00EE0E0A">
            <w:pPr>
              <w:spacing w:after="0" w:line="240" w:lineRule="auto"/>
              <w:rPr>
                <w:rFonts w:ascii="Calibri" w:eastAsia="Times New Roman" w:hAnsi="Calibri" w:cs="Calibri"/>
                <w:color w:val="000000"/>
                <w:sz w:val="18"/>
                <w:szCs w:val="18"/>
              </w:rPr>
            </w:pPr>
            <w:r w:rsidRPr="009C4FCE">
              <w:rPr>
                <w:rFonts w:ascii="Calibri" w:eastAsia="Times New Roman" w:hAnsi="Calibri" w:cs="Calibri"/>
                <w:b/>
                <w:color w:val="00B050"/>
                <w:sz w:val="18"/>
                <w:szCs w:val="18"/>
              </w:rPr>
              <w:t>3 green stars</w:t>
            </w:r>
            <w:r w:rsidRPr="009C4FCE">
              <w:rPr>
                <w:rFonts w:ascii="Calibri" w:eastAsia="Times New Roman" w:hAnsi="Calibri" w:cs="Calibri"/>
                <w:color w:val="00B050"/>
                <w:sz w:val="18"/>
                <w:szCs w:val="18"/>
              </w:rPr>
              <w:t xml:space="preserve"> </w:t>
            </w:r>
            <w:r>
              <w:rPr>
                <w:rFonts w:ascii="Calibri" w:eastAsia="Times New Roman" w:hAnsi="Calibri" w:cs="Calibri"/>
                <w:color w:val="000000"/>
                <w:sz w:val="18"/>
                <w:szCs w:val="18"/>
              </w:rPr>
              <w:t>are displayed.</w:t>
            </w:r>
          </w:p>
          <w:p w14:paraId="6B961F73" w14:textId="77777777" w:rsidR="00A955F8" w:rsidRPr="008E4D3A" w:rsidRDefault="00A955F8" w:rsidP="00EE0E0A">
            <w:pPr>
              <w:spacing w:after="0" w:line="240" w:lineRule="auto"/>
              <w:rPr>
                <w:rFonts w:ascii="Calibri" w:eastAsia="Times New Roman" w:hAnsi="Calibri" w:cs="Calibri"/>
                <w:color w:val="000000"/>
                <w:sz w:val="18"/>
                <w:szCs w:val="18"/>
              </w:rPr>
            </w:pPr>
            <w:r w:rsidRPr="008E4D3A">
              <w:rPr>
                <w:rFonts w:ascii="Calibri" w:eastAsia="Times New Roman" w:hAnsi="Calibri" w:cs="Calibri"/>
                <w:color w:val="000000"/>
                <w:sz w:val="18"/>
                <w:szCs w:val="18"/>
              </w:rPr>
              <w:t>If an agency submits t</w:t>
            </w:r>
            <w:r>
              <w:rPr>
                <w:rFonts w:ascii="Calibri" w:eastAsia="Times New Roman" w:hAnsi="Calibri" w:cs="Calibri"/>
                <w:color w:val="000000"/>
                <w:sz w:val="18"/>
                <w:szCs w:val="18"/>
              </w:rPr>
              <w:t>he follow up reports and 11% to 19</w:t>
            </w:r>
            <w:r w:rsidRPr="008E4D3A">
              <w:rPr>
                <w:rFonts w:ascii="Calibri" w:eastAsia="Times New Roman" w:hAnsi="Calibri" w:cs="Calibri"/>
                <w:color w:val="000000"/>
                <w:sz w:val="18"/>
                <w:szCs w:val="18"/>
              </w:rPr>
              <w:t>% were submitted late</w:t>
            </w:r>
            <w:r>
              <w:rPr>
                <w:rFonts w:ascii="Calibri" w:eastAsia="Times New Roman" w:hAnsi="Calibri" w:cs="Calibri"/>
                <w:color w:val="000000"/>
                <w:sz w:val="18"/>
                <w:szCs w:val="18"/>
              </w:rPr>
              <w:t>,</w:t>
            </w:r>
            <w:r w:rsidRPr="008E4D3A">
              <w:rPr>
                <w:rFonts w:ascii="Calibri" w:eastAsia="Times New Roman" w:hAnsi="Calibri" w:cs="Calibri"/>
                <w:color w:val="000000"/>
                <w:sz w:val="18"/>
                <w:szCs w:val="18"/>
              </w:rPr>
              <w:t xml:space="preserve"> </w:t>
            </w:r>
          </w:p>
          <w:p w14:paraId="7941614E" w14:textId="77777777" w:rsidR="00A955F8" w:rsidRDefault="00A955F8" w:rsidP="00EE0E0A">
            <w:pPr>
              <w:spacing w:after="0" w:line="240" w:lineRule="auto"/>
              <w:rPr>
                <w:rFonts w:ascii="Calibri" w:eastAsia="Times New Roman" w:hAnsi="Calibri" w:cs="Calibri"/>
                <w:color w:val="000000"/>
                <w:sz w:val="18"/>
                <w:szCs w:val="18"/>
              </w:rPr>
            </w:pPr>
            <w:r w:rsidRPr="009C4FCE">
              <w:rPr>
                <w:rFonts w:ascii="Calibri" w:eastAsia="Times New Roman" w:hAnsi="Calibri" w:cs="Calibri"/>
                <w:b/>
                <w:color w:val="FFC000"/>
                <w:sz w:val="18"/>
                <w:szCs w:val="18"/>
              </w:rPr>
              <w:t>2 yellow stars</w:t>
            </w:r>
            <w:r w:rsidRPr="009C4FCE">
              <w:rPr>
                <w:rFonts w:ascii="Calibri" w:eastAsia="Times New Roman" w:hAnsi="Calibri" w:cs="Calibri"/>
                <w:color w:val="FFC000"/>
                <w:sz w:val="18"/>
                <w:szCs w:val="18"/>
              </w:rPr>
              <w:t xml:space="preserve"> </w:t>
            </w:r>
            <w:r>
              <w:rPr>
                <w:rFonts w:ascii="Calibri" w:eastAsia="Times New Roman" w:hAnsi="Calibri" w:cs="Calibri"/>
                <w:color w:val="000000"/>
                <w:sz w:val="18"/>
                <w:szCs w:val="18"/>
              </w:rPr>
              <w:t>are</w:t>
            </w:r>
            <w:r w:rsidRPr="008E4D3A">
              <w:rPr>
                <w:rFonts w:ascii="Calibri" w:eastAsia="Times New Roman" w:hAnsi="Calibri" w:cs="Calibri"/>
                <w:color w:val="000000"/>
                <w:sz w:val="18"/>
                <w:szCs w:val="18"/>
              </w:rPr>
              <w:t xml:space="preserve"> displayed.</w:t>
            </w:r>
          </w:p>
          <w:p w14:paraId="5C3EE824" w14:textId="77777777" w:rsidR="00A955F8" w:rsidRPr="009C4FCE" w:rsidRDefault="00A955F8" w:rsidP="00EE0E0A">
            <w:pPr>
              <w:spacing w:after="0" w:line="240" w:lineRule="auto"/>
              <w:rPr>
                <w:rFonts w:ascii="Calibri" w:eastAsia="Times New Roman" w:hAnsi="Calibri" w:cs="Calibri"/>
                <w:color w:val="000000"/>
                <w:sz w:val="18"/>
                <w:szCs w:val="18"/>
              </w:rPr>
            </w:pPr>
            <w:r w:rsidRPr="009C4FCE">
              <w:rPr>
                <w:rFonts w:ascii="Calibri" w:eastAsia="Times New Roman" w:hAnsi="Calibri" w:cs="Calibri"/>
                <w:color w:val="000000"/>
                <w:sz w:val="18"/>
                <w:szCs w:val="18"/>
              </w:rPr>
              <w:t xml:space="preserve">If an agency submits the follow up </w:t>
            </w:r>
            <w:r>
              <w:rPr>
                <w:rFonts w:ascii="Calibri" w:eastAsia="Times New Roman" w:hAnsi="Calibri" w:cs="Calibri"/>
                <w:color w:val="000000"/>
                <w:sz w:val="18"/>
                <w:szCs w:val="18"/>
              </w:rPr>
              <w:t>reports and 20</w:t>
            </w:r>
            <w:r w:rsidRPr="009C4FCE">
              <w:rPr>
                <w:rFonts w:ascii="Calibri" w:eastAsia="Times New Roman" w:hAnsi="Calibri" w:cs="Calibri"/>
                <w:color w:val="000000"/>
                <w:sz w:val="18"/>
                <w:szCs w:val="18"/>
              </w:rPr>
              <w:t xml:space="preserve">% </w:t>
            </w:r>
            <w:r>
              <w:rPr>
                <w:rFonts w:ascii="Calibri" w:eastAsia="Times New Roman" w:hAnsi="Calibri" w:cs="Calibri"/>
                <w:color w:val="000000"/>
                <w:sz w:val="18"/>
                <w:szCs w:val="18"/>
              </w:rPr>
              <w:t xml:space="preserve">or more </w:t>
            </w:r>
            <w:r w:rsidRPr="009C4FCE">
              <w:rPr>
                <w:rFonts w:ascii="Calibri" w:eastAsia="Times New Roman" w:hAnsi="Calibri" w:cs="Calibri"/>
                <w:color w:val="000000"/>
                <w:sz w:val="18"/>
                <w:szCs w:val="18"/>
              </w:rPr>
              <w:t>were submitted late</w:t>
            </w:r>
            <w:r>
              <w:rPr>
                <w:rFonts w:ascii="Calibri" w:eastAsia="Times New Roman" w:hAnsi="Calibri" w:cs="Calibri"/>
                <w:color w:val="000000"/>
                <w:sz w:val="18"/>
                <w:szCs w:val="18"/>
              </w:rPr>
              <w:t>,</w:t>
            </w:r>
            <w:r w:rsidRPr="009C4FCE">
              <w:rPr>
                <w:rFonts w:ascii="Calibri" w:eastAsia="Times New Roman" w:hAnsi="Calibri" w:cs="Calibri"/>
                <w:color w:val="000000"/>
                <w:sz w:val="18"/>
                <w:szCs w:val="18"/>
              </w:rPr>
              <w:t xml:space="preserve"> </w:t>
            </w:r>
          </w:p>
          <w:p w14:paraId="745CA230" w14:textId="77777777" w:rsidR="00A955F8" w:rsidRPr="009C4FCE" w:rsidRDefault="00A955F8" w:rsidP="00EE0E0A">
            <w:pPr>
              <w:spacing w:after="0" w:line="240" w:lineRule="auto"/>
              <w:rPr>
                <w:rFonts w:ascii="Calibri" w:eastAsia="Times New Roman" w:hAnsi="Calibri" w:cs="Calibri"/>
                <w:color w:val="000000"/>
                <w:sz w:val="18"/>
                <w:szCs w:val="18"/>
              </w:rPr>
            </w:pPr>
            <w:r w:rsidRPr="009C4FCE">
              <w:rPr>
                <w:rFonts w:ascii="Calibri" w:eastAsia="Times New Roman" w:hAnsi="Calibri" w:cs="Calibri"/>
                <w:b/>
                <w:color w:val="FF0000"/>
                <w:sz w:val="18"/>
                <w:szCs w:val="18"/>
              </w:rPr>
              <w:t>1 red star</w:t>
            </w:r>
            <w:r w:rsidRPr="009C4FCE">
              <w:rPr>
                <w:rFonts w:ascii="Calibri" w:eastAsia="Times New Roman" w:hAnsi="Calibri" w:cs="Calibri"/>
                <w:color w:val="FF0000"/>
                <w:sz w:val="18"/>
                <w:szCs w:val="18"/>
              </w:rPr>
              <w:t xml:space="preserve"> </w:t>
            </w:r>
            <w:r w:rsidRPr="009C4FCE">
              <w:rPr>
                <w:rFonts w:ascii="Calibri" w:eastAsia="Times New Roman" w:hAnsi="Calibri" w:cs="Calibri"/>
                <w:color w:val="000000"/>
                <w:sz w:val="18"/>
                <w:szCs w:val="18"/>
              </w:rPr>
              <w:t>is displayed.</w:t>
            </w:r>
          </w:p>
          <w:p w14:paraId="20C707F8" w14:textId="77777777" w:rsidR="00A955F8" w:rsidRPr="00D740AA" w:rsidRDefault="00A955F8" w:rsidP="00EE0E0A">
            <w:pPr>
              <w:spacing w:after="0" w:line="240" w:lineRule="auto"/>
              <w:rPr>
                <w:rFonts w:ascii="Calibri" w:eastAsia="Times New Roman" w:hAnsi="Calibri" w:cs="Calibri"/>
                <w:color w:val="000000"/>
                <w:sz w:val="18"/>
                <w:szCs w:val="18"/>
              </w:rPr>
            </w:pPr>
          </w:p>
        </w:tc>
      </w:tr>
      <w:tr w:rsidR="00A955F8" w:rsidRPr="00C740EA" w14:paraId="5166D451" w14:textId="77777777" w:rsidTr="00DA7EBE">
        <w:trPr>
          <w:cantSplit/>
          <w:trHeight w:val="440"/>
          <w:tblHeader/>
          <w:jc w:val="center"/>
        </w:trPr>
        <w:tc>
          <w:tcPr>
            <w:tcW w:w="1975" w:type="dxa"/>
            <w:shd w:val="clear" w:color="auto" w:fill="auto"/>
            <w:hideMark/>
          </w:tcPr>
          <w:p w14:paraId="4D9C3FBD" w14:textId="083BE019" w:rsidR="00A955F8" w:rsidRPr="007E2520" w:rsidRDefault="00A955F8" w:rsidP="003413D6">
            <w:pPr>
              <w:spacing w:after="0" w:line="240" w:lineRule="auto"/>
              <w:rPr>
                <w:rFonts w:ascii="Calibri" w:eastAsia="Times New Roman" w:hAnsi="Calibri" w:cs="Calibri"/>
                <w:b/>
                <w:color w:val="000000"/>
                <w:sz w:val="18"/>
                <w:szCs w:val="18"/>
              </w:rPr>
            </w:pPr>
            <w:r w:rsidRPr="007E2520">
              <w:rPr>
                <w:rFonts w:ascii="Calibri" w:eastAsia="Times New Roman" w:hAnsi="Calibri" w:cs="Calibri"/>
                <w:b/>
                <w:color w:val="000000"/>
                <w:sz w:val="18"/>
                <w:szCs w:val="18"/>
              </w:rPr>
              <w:t xml:space="preserve">People Who Live in the Homes are </w:t>
            </w:r>
            <w:r w:rsidRPr="008E7324">
              <w:rPr>
                <w:rFonts w:ascii="Calibri" w:eastAsia="Times New Roman" w:hAnsi="Calibri" w:cs="Calibri"/>
                <w:b/>
                <w:color w:val="000000"/>
                <w:sz w:val="18"/>
                <w:szCs w:val="18"/>
              </w:rPr>
              <w:t xml:space="preserve">Free </w:t>
            </w:r>
            <w:r w:rsidR="00714754">
              <w:rPr>
                <w:rFonts w:ascii="Calibri" w:eastAsia="Times New Roman" w:hAnsi="Calibri" w:cs="Calibri"/>
                <w:b/>
                <w:color w:val="000000"/>
                <w:sz w:val="18"/>
                <w:szCs w:val="18"/>
              </w:rPr>
              <w:t xml:space="preserve">of Serious Allegations of </w:t>
            </w:r>
            <w:r w:rsidRPr="007E2520">
              <w:rPr>
                <w:rFonts w:ascii="Calibri" w:eastAsia="Times New Roman" w:hAnsi="Calibri" w:cs="Calibri"/>
                <w:b/>
                <w:color w:val="000000"/>
                <w:sz w:val="18"/>
                <w:szCs w:val="18"/>
              </w:rPr>
              <w:t>Abuse, Neglect and Exploitation.</w:t>
            </w:r>
          </w:p>
        </w:tc>
        <w:tc>
          <w:tcPr>
            <w:tcW w:w="5040" w:type="dxa"/>
            <w:shd w:val="clear" w:color="auto" w:fill="auto"/>
          </w:tcPr>
          <w:p w14:paraId="7E460FA5" w14:textId="4FF52FDF" w:rsidR="00A955F8" w:rsidRPr="00D740AA" w:rsidRDefault="00A955F8" w:rsidP="00EE0E0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For this metric, the number of substantiated allegations</w:t>
            </w:r>
            <w:r w:rsidR="009243B8">
              <w:rPr>
                <w:rFonts w:ascii="Calibri" w:eastAsia="Times New Roman" w:hAnsi="Calibri" w:cs="Calibri"/>
                <w:color w:val="000000"/>
                <w:sz w:val="18"/>
                <w:szCs w:val="18"/>
              </w:rPr>
              <w:t>*</w:t>
            </w:r>
            <w:r w:rsidR="00E61799">
              <w:rPr>
                <w:rFonts w:ascii="Calibri" w:eastAsia="Times New Roman" w:hAnsi="Calibri" w:cs="Calibri"/>
                <w:color w:val="000000"/>
                <w:sz w:val="18"/>
                <w:szCs w:val="18"/>
              </w:rPr>
              <w:t>**</w:t>
            </w:r>
            <w:r>
              <w:rPr>
                <w:rFonts w:ascii="Calibri" w:eastAsia="Times New Roman" w:hAnsi="Calibri" w:cs="Calibri"/>
                <w:color w:val="000000"/>
                <w:sz w:val="18"/>
                <w:szCs w:val="18"/>
              </w:rPr>
              <w:t xml:space="preserve"> of abuse, neglect and exploitation that the Office of Investigations (OI)  investigated is assigned a rate</w:t>
            </w:r>
            <w:r w:rsidR="009243B8">
              <w:rPr>
                <w:rFonts w:ascii="Calibri" w:eastAsia="Times New Roman" w:hAnsi="Calibri" w:cs="Calibri"/>
                <w:color w:val="000000"/>
                <w:sz w:val="18"/>
                <w:szCs w:val="18"/>
              </w:rPr>
              <w:t>**</w:t>
            </w:r>
            <w:r w:rsidR="00E61799">
              <w:rPr>
                <w:rFonts w:ascii="Calibri" w:eastAsia="Times New Roman" w:hAnsi="Calibri" w:cs="Calibri"/>
                <w:color w:val="000000"/>
                <w:sz w:val="18"/>
                <w:szCs w:val="18"/>
              </w:rPr>
              <w:t>**</w:t>
            </w:r>
            <w:r>
              <w:rPr>
                <w:rFonts w:ascii="Calibri" w:eastAsia="Times New Roman" w:hAnsi="Calibri" w:cs="Calibri"/>
                <w:color w:val="000000"/>
                <w:sz w:val="18"/>
                <w:szCs w:val="18"/>
              </w:rPr>
              <w:t xml:space="preserve"> per 25 individuals served.</w:t>
            </w:r>
          </w:p>
        </w:tc>
        <w:tc>
          <w:tcPr>
            <w:tcW w:w="7020" w:type="dxa"/>
          </w:tcPr>
          <w:p w14:paraId="60D332E9" w14:textId="77777777" w:rsidR="00A955F8" w:rsidRDefault="00A955F8" w:rsidP="00EE0E0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If the rate (per 25 people served) of substantiated allegations is between 0 and .50, </w:t>
            </w:r>
            <w:r w:rsidRPr="00C05A7B">
              <w:rPr>
                <w:rFonts w:ascii="Calibri" w:eastAsia="Times New Roman" w:hAnsi="Calibri" w:cs="Calibri"/>
                <w:b/>
                <w:color w:val="00B050"/>
                <w:sz w:val="18"/>
                <w:szCs w:val="18"/>
              </w:rPr>
              <w:t>3 green stars</w:t>
            </w:r>
            <w:r>
              <w:rPr>
                <w:rFonts w:ascii="Calibri" w:eastAsia="Times New Roman" w:hAnsi="Calibri" w:cs="Calibri"/>
                <w:color w:val="000000"/>
                <w:sz w:val="18"/>
                <w:szCs w:val="18"/>
              </w:rPr>
              <w:t xml:space="preserve"> are displayed.</w:t>
            </w:r>
          </w:p>
          <w:p w14:paraId="21550C28" w14:textId="77777777" w:rsidR="00A955F8" w:rsidRDefault="00A955F8" w:rsidP="00EE0E0A">
            <w:pPr>
              <w:spacing w:after="0" w:line="240" w:lineRule="auto"/>
              <w:rPr>
                <w:rFonts w:ascii="Calibri" w:eastAsia="Times New Roman" w:hAnsi="Calibri" w:cs="Calibri"/>
                <w:color w:val="000000"/>
                <w:sz w:val="18"/>
                <w:szCs w:val="18"/>
              </w:rPr>
            </w:pPr>
            <w:r w:rsidRPr="00D52694">
              <w:rPr>
                <w:rFonts w:ascii="Calibri" w:eastAsia="Times New Roman" w:hAnsi="Calibri" w:cs="Calibri"/>
                <w:color w:val="000000"/>
                <w:sz w:val="18"/>
                <w:szCs w:val="18"/>
              </w:rPr>
              <w:t>If the rate (per 25 people served) of substa</w:t>
            </w:r>
            <w:r>
              <w:rPr>
                <w:rFonts w:ascii="Calibri" w:eastAsia="Times New Roman" w:hAnsi="Calibri" w:cs="Calibri"/>
                <w:color w:val="000000"/>
                <w:sz w:val="18"/>
                <w:szCs w:val="18"/>
              </w:rPr>
              <w:t xml:space="preserve">ntiated allegations is between .51 and .94, </w:t>
            </w:r>
            <w:r w:rsidRPr="00636625">
              <w:rPr>
                <w:rFonts w:ascii="Calibri" w:eastAsia="Times New Roman" w:hAnsi="Calibri" w:cs="Calibri"/>
                <w:b/>
                <w:color w:val="FFC000"/>
                <w:sz w:val="18"/>
                <w:szCs w:val="18"/>
              </w:rPr>
              <w:t>2 yellow stars</w:t>
            </w:r>
            <w:r w:rsidRPr="00D52694">
              <w:rPr>
                <w:rFonts w:ascii="Calibri" w:eastAsia="Times New Roman" w:hAnsi="Calibri" w:cs="Calibri"/>
                <w:color w:val="000000"/>
                <w:sz w:val="18"/>
                <w:szCs w:val="18"/>
              </w:rPr>
              <w:t xml:space="preserve"> are displayed.</w:t>
            </w:r>
          </w:p>
          <w:p w14:paraId="56C02981" w14:textId="77777777" w:rsidR="00A955F8" w:rsidRPr="00D52694" w:rsidRDefault="00A955F8" w:rsidP="00EE0E0A">
            <w:pPr>
              <w:spacing w:after="0" w:line="240" w:lineRule="auto"/>
              <w:rPr>
                <w:rFonts w:ascii="Calibri" w:eastAsia="Times New Roman" w:hAnsi="Calibri" w:cs="Calibri"/>
                <w:color w:val="000000"/>
                <w:sz w:val="18"/>
                <w:szCs w:val="18"/>
              </w:rPr>
            </w:pPr>
            <w:r w:rsidRPr="00D52694">
              <w:rPr>
                <w:rFonts w:ascii="Calibri" w:eastAsia="Times New Roman" w:hAnsi="Calibri" w:cs="Calibri"/>
                <w:color w:val="000000"/>
                <w:sz w:val="18"/>
                <w:szCs w:val="18"/>
              </w:rPr>
              <w:t>If the rate (per 25 people served) of substa</w:t>
            </w:r>
            <w:r>
              <w:rPr>
                <w:rFonts w:ascii="Calibri" w:eastAsia="Times New Roman" w:hAnsi="Calibri" w:cs="Calibri"/>
                <w:color w:val="000000"/>
                <w:sz w:val="18"/>
                <w:szCs w:val="18"/>
              </w:rPr>
              <w:t xml:space="preserve">ntiated allegations is .95 or more, </w:t>
            </w:r>
            <w:r w:rsidRPr="00636625">
              <w:rPr>
                <w:rFonts w:ascii="Calibri" w:eastAsia="Times New Roman" w:hAnsi="Calibri" w:cs="Calibri"/>
                <w:b/>
                <w:color w:val="FF0000"/>
                <w:sz w:val="18"/>
                <w:szCs w:val="18"/>
              </w:rPr>
              <w:t>1 red star</w:t>
            </w:r>
            <w:r>
              <w:rPr>
                <w:rFonts w:ascii="Calibri" w:eastAsia="Times New Roman" w:hAnsi="Calibri" w:cs="Calibri"/>
                <w:color w:val="000000"/>
                <w:sz w:val="18"/>
                <w:szCs w:val="18"/>
              </w:rPr>
              <w:t xml:space="preserve"> is</w:t>
            </w:r>
            <w:r w:rsidRPr="00D52694">
              <w:rPr>
                <w:rFonts w:ascii="Calibri" w:eastAsia="Times New Roman" w:hAnsi="Calibri" w:cs="Calibri"/>
                <w:color w:val="000000"/>
                <w:sz w:val="18"/>
                <w:szCs w:val="18"/>
              </w:rPr>
              <w:t xml:space="preserve"> displayed.</w:t>
            </w:r>
          </w:p>
          <w:p w14:paraId="250524F0" w14:textId="77777777" w:rsidR="00A955F8" w:rsidRPr="00D740AA" w:rsidRDefault="00A955F8" w:rsidP="00EE0E0A">
            <w:pPr>
              <w:spacing w:after="0" w:line="240" w:lineRule="auto"/>
              <w:rPr>
                <w:rFonts w:ascii="Calibri" w:eastAsia="Times New Roman" w:hAnsi="Calibri" w:cs="Calibri"/>
                <w:color w:val="000000"/>
                <w:sz w:val="18"/>
                <w:szCs w:val="18"/>
              </w:rPr>
            </w:pPr>
          </w:p>
        </w:tc>
      </w:tr>
      <w:tr w:rsidR="00A955F8" w:rsidRPr="00C740EA" w14:paraId="152843DD" w14:textId="77777777" w:rsidTr="00DA7EBE">
        <w:trPr>
          <w:cantSplit/>
          <w:trHeight w:val="710"/>
          <w:tblHeader/>
          <w:jc w:val="center"/>
        </w:trPr>
        <w:tc>
          <w:tcPr>
            <w:tcW w:w="1975" w:type="dxa"/>
            <w:shd w:val="clear" w:color="auto" w:fill="auto"/>
            <w:hideMark/>
          </w:tcPr>
          <w:p w14:paraId="70EC0C0D" w14:textId="77777777" w:rsidR="00A955F8" w:rsidRPr="007E2520" w:rsidRDefault="00A955F8" w:rsidP="003413D6">
            <w:pPr>
              <w:spacing w:after="0" w:line="240" w:lineRule="auto"/>
              <w:rPr>
                <w:rFonts w:ascii="Calibri" w:eastAsia="Times New Roman" w:hAnsi="Calibri" w:cs="Calibri"/>
                <w:b/>
                <w:color w:val="000000"/>
                <w:sz w:val="18"/>
                <w:szCs w:val="18"/>
              </w:rPr>
            </w:pPr>
            <w:r w:rsidRPr="007E2520">
              <w:rPr>
                <w:rFonts w:ascii="Calibri" w:eastAsia="Times New Roman" w:hAnsi="Calibri" w:cs="Calibri"/>
                <w:b/>
                <w:color w:val="000000"/>
                <w:sz w:val="18"/>
                <w:szCs w:val="18"/>
              </w:rPr>
              <w:t xml:space="preserve">The Agency Takes Appropriate Steps </w:t>
            </w:r>
            <w:r w:rsidR="008E7324">
              <w:rPr>
                <w:rFonts w:ascii="Calibri" w:eastAsia="Times New Roman" w:hAnsi="Calibri" w:cs="Calibri"/>
                <w:b/>
                <w:color w:val="000000"/>
                <w:sz w:val="18"/>
                <w:szCs w:val="18"/>
              </w:rPr>
              <w:t>to Reduce the Oc</w:t>
            </w:r>
            <w:r w:rsidRPr="007E2520">
              <w:rPr>
                <w:rFonts w:ascii="Calibri" w:eastAsia="Times New Roman" w:hAnsi="Calibri" w:cs="Calibri"/>
                <w:b/>
                <w:color w:val="000000"/>
                <w:sz w:val="18"/>
                <w:szCs w:val="18"/>
              </w:rPr>
              <w:t>currence of Critical Incidents for People Living in the Home</w:t>
            </w:r>
            <w:r w:rsidR="00B93FA9">
              <w:rPr>
                <w:rFonts w:ascii="Calibri" w:eastAsia="Times New Roman" w:hAnsi="Calibri" w:cs="Calibri"/>
                <w:b/>
                <w:color w:val="000000"/>
                <w:sz w:val="18"/>
                <w:szCs w:val="18"/>
              </w:rPr>
              <w:t>s</w:t>
            </w:r>
          </w:p>
        </w:tc>
        <w:tc>
          <w:tcPr>
            <w:tcW w:w="5040" w:type="dxa"/>
            <w:shd w:val="clear" w:color="auto" w:fill="auto"/>
            <w:hideMark/>
          </w:tcPr>
          <w:p w14:paraId="2A974CC1" w14:textId="3EBECCAB" w:rsidR="00A955F8" w:rsidRPr="00D740AA" w:rsidRDefault="00A955F8" w:rsidP="00EE0E0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For this metric, the rate of people living in the homes that were involved in 3</w:t>
            </w:r>
            <w:r w:rsidRPr="00D740AA">
              <w:rPr>
                <w:rFonts w:ascii="Calibri" w:eastAsia="Times New Roman" w:hAnsi="Calibri" w:cs="Calibri"/>
                <w:color w:val="000000"/>
                <w:sz w:val="18"/>
                <w:szCs w:val="18"/>
              </w:rPr>
              <w:t xml:space="preserve"> or more</w:t>
            </w:r>
            <w:r>
              <w:rPr>
                <w:rFonts w:ascii="Calibri" w:eastAsia="Times New Roman" w:hAnsi="Calibri" w:cs="Calibri"/>
                <w:color w:val="000000"/>
                <w:sz w:val="18"/>
                <w:szCs w:val="18"/>
              </w:rPr>
              <w:t xml:space="preserve"> su</w:t>
            </w:r>
            <w:r w:rsidR="00C67D58">
              <w:rPr>
                <w:rFonts w:ascii="Calibri" w:eastAsia="Times New Roman" w:hAnsi="Calibri" w:cs="Calibri"/>
                <w:color w:val="000000"/>
                <w:sz w:val="18"/>
                <w:szCs w:val="18"/>
              </w:rPr>
              <w:t>bstantiated critical events or allegations</w:t>
            </w:r>
            <w:r w:rsidRPr="00D740AA">
              <w:rPr>
                <w:rFonts w:ascii="Calibri" w:eastAsia="Times New Roman" w:hAnsi="Calibri" w:cs="Calibri"/>
                <w:color w:val="000000"/>
                <w:sz w:val="18"/>
                <w:szCs w:val="18"/>
              </w:rPr>
              <w:t xml:space="preserve"> </w:t>
            </w:r>
            <w:r>
              <w:rPr>
                <w:rFonts w:ascii="Calibri" w:eastAsia="Times New Roman" w:hAnsi="Calibri" w:cs="Calibri"/>
                <w:color w:val="000000"/>
                <w:sz w:val="18"/>
                <w:szCs w:val="18"/>
              </w:rPr>
              <w:t>per 25 individuals serve</w:t>
            </w:r>
            <w:r w:rsidR="00A319FE">
              <w:rPr>
                <w:rFonts w:ascii="Calibri" w:eastAsia="Times New Roman" w:hAnsi="Calibri" w:cs="Calibri"/>
                <w:color w:val="000000"/>
                <w:sz w:val="18"/>
                <w:szCs w:val="18"/>
              </w:rPr>
              <w:t>d is calculated.  The critical incidents</w:t>
            </w:r>
            <w:r>
              <w:rPr>
                <w:rFonts w:ascii="Calibri" w:eastAsia="Times New Roman" w:hAnsi="Calibri" w:cs="Calibri"/>
                <w:color w:val="000000"/>
                <w:sz w:val="18"/>
                <w:szCs w:val="18"/>
              </w:rPr>
              <w:t xml:space="preserve"> include abuse, neglect, exploitation, serious injuries, assault, failure to call 911 in a life-threatening emergency, sexual assault and death.</w:t>
            </w:r>
          </w:p>
        </w:tc>
        <w:tc>
          <w:tcPr>
            <w:tcW w:w="7020" w:type="dxa"/>
          </w:tcPr>
          <w:p w14:paraId="09684FAC" w14:textId="77777777" w:rsidR="00A955F8" w:rsidRDefault="00A955F8" w:rsidP="00EE0E0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If the rate of people involved in 3 or more su</w:t>
            </w:r>
            <w:r w:rsidR="00A319FE">
              <w:rPr>
                <w:rFonts w:ascii="Calibri" w:eastAsia="Times New Roman" w:hAnsi="Calibri" w:cs="Calibri"/>
                <w:color w:val="000000"/>
                <w:sz w:val="18"/>
                <w:szCs w:val="18"/>
              </w:rPr>
              <w:t>bstantiated critical incidents</w:t>
            </w:r>
            <w:r>
              <w:rPr>
                <w:rFonts w:ascii="Calibri" w:eastAsia="Times New Roman" w:hAnsi="Calibri" w:cs="Calibri"/>
                <w:color w:val="000000"/>
                <w:sz w:val="18"/>
                <w:szCs w:val="18"/>
              </w:rPr>
              <w:t xml:space="preserve"> is between 0 and .50, </w:t>
            </w:r>
            <w:r w:rsidRPr="00636625">
              <w:rPr>
                <w:rFonts w:ascii="Calibri" w:eastAsia="Times New Roman" w:hAnsi="Calibri" w:cs="Calibri"/>
                <w:b/>
                <w:color w:val="00B050"/>
                <w:sz w:val="18"/>
                <w:szCs w:val="18"/>
              </w:rPr>
              <w:t>3 green stars</w:t>
            </w:r>
            <w:r>
              <w:rPr>
                <w:rFonts w:ascii="Calibri" w:eastAsia="Times New Roman" w:hAnsi="Calibri" w:cs="Calibri"/>
                <w:color w:val="000000"/>
                <w:sz w:val="18"/>
                <w:szCs w:val="18"/>
              </w:rPr>
              <w:t xml:space="preserve"> are displayed.</w:t>
            </w:r>
          </w:p>
          <w:p w14:paraId="01C53EDF" w14:textId="77777777" w:rsidR="00A955F8" w:rsidRDefault="00A955F8" w:rsidP="00EE0E0A">
            <w:pPr>
              <w:spacing w:after="0" w:line="240" w:lineRule="auto"/>
              <w:rPr>
                <w:rFonts w:ascii="Calibri" w:eastAsia="Times New Roman" w:hAnsi="Calibri" w:cs="Calibri"/>
                <w:color w:val="000000"/>
                <w:sz w:val="18"/>
                <w:szCs w:val="18"/>
              </w:rPr>
            </w:pPr>
            <w:r w:rsidRPr="00636625">
              <w:rPr>
                <w:rFonts w:ascii="Calibri" w:eastAsia="Times New Roman" w:hAnsi="Calibri" w:cs="Calibri"/>
                <w:color w:val="000000"/>
                <w:sz w:val="18"/>
                <w:szCs w:val="18"/>
              </w:rPr>
              <w:t>If the rate of people involved in 3 or more substantiated c</w:t>
            </w:r>
            <w:r w:rsidR="00A319FE">
              <w:rPr>
                <w:rFonts w:ascii="Calibri" w:eastAsia="Times New Roman" w:hAnsi="Calibri" w:cs="Calibri"/>
                <w:color w:val="000000"/>
                <w:sz w:val="18"/>
                <w:szCs w:val="18"/>
              </w:rPr>
              <w:t>ritical incidents</w:t>
            </w:r>
            <w:r>
              <w:rPr>
                <w:rFonts w:ascii="Calibri" w:eastAsia="Times New Roman" w:hAnsi="Calibri" w:cs="Calibri"/>
                <w:color w:val="000000"/>
                <w:sz w:val="18"/>
                <w:szCs w:val="18"/>
              </w:rPr>
              <w:t xml:space="preserve"> is between .51 and 1.0</w:t>
            </w:r>
            <w:r w:rsidRPr="00636625">
              <w:rPr>
                <w:rFonts w:ascii="Calibri" w:eastAsia="Times New Roman" w:hAnsi="Calibri" w:cs="Calibri"/>
                <w:color w:val="000000"/>
                <w:sz w:val="18"/>
                <w:szCs w:val="18"/>
              </w:rPr>
              <w:t xml:space="preserve">, </w:t>
            </w:r>
            <w:r>
              <w:rPr>
                <w:rFonts w:ascii="Calibri" w:eastAsia="Times New Roman" w:hAnsi="Calibri" w:cs="Calibri"/>
                <w:b/>
                <w:color w:val="FFC000"/>
                <w:sz w:val="18"/>
                <w:szCs w:val="18"/>
              </w:rPr>
              <w:t>2 yellow</w:t>
            </w:r>
            <w:r w:rsidRPr="00636625">
              <w:rPr>
                <w:rFonts w:ascii="Calibri" w:eastAsia="Times New Roman" w:hAnsi="Calibri" w:cs="Calibri"/>
                <w:b/>
                <w:color w:val="FFC000"/>
                <w:sz w:val="18"/>
                <w:szCs w:val="18"/>
              </w:rPr>
              <w:t xml:space="preserve"> stars</w:t>
            </w:r>
            <w:r w:rsidRPr="00636625">
              <w:rPr>
                <w:rFonts w:ascii="Calibri" w:eastAsia="Times New Roman" w:hAnsi="Calibri" w:cs="Calibri"/>
                <w:color w:val="FFC000"/>
                <w:sz w:val="18"/>
                <w:szCs w:val="18"/>
              </w:rPr>
              <w:t xml:space="preserve"> </w:t>
            </w:r>
            <w:r w:rsidRPr="00636625">
              <w:rPr>
                <w:rFonts w:ascii="Calibri" w:eastAsia="Times New Roman" w:hAnsi="Calibri" w:cs="Calibri"/>
                <w:color w:val="000000"/>
                <w:sz w:val="18"/>
                <w:szCs w:val="18"/>
              </w:rPr>
              <w:t>are displayed.</w:t>
            </w:r>
          </w:p>
          <w:p w14:paraId="0709AC22" w14:textId="77777777" w:rsidR="00A955F8" w:rsidRPr="00636625" w:rsidRDefault="00A955F8" w:rsidP="00EE0E0A">
            <w:pPr>
              <w:spacing w:after="0" w:line="240" w:lineRule="auto"/>
              <w:rPr>
                <w:rFonts w:ascii="Calibri" w:eastAsia="Times New Roman" w:hAnsi="Calibri" w:cs="Calibri"/>
                <w:color w:val="000000"/>
                <w:sz w:val="18"/>
                <w:szCs w:val="18"/>
              </w:rPr>
            </w:pPr>
            <w:r w:rsidRPr="00636625">
              <w:rPr>
                <w:rFonts w:ascii="Calibri" w:eastAsia="Times New Roman" w:hAnsi="Calibri" w:cs="Calibri"/>
                <w:color w:val="000000"/>
                <w:sz w:val="18"/>
                <w:szCs w:val="18"/>
              </w:rPr>
              <w:t xml:space="preserve">If the rate of people involved in 3 or more substantiated critical </w:t>
            </w:r>
            <w:r w:rsidR="00A319FE">
              <w:rPr>
                <w:rFonts w:ascii="Calibri" w:eastAsia="Times New Roman" w:hAnsi="Calibri" w:cs="Calibri"/>
                <w:color w:val="000000"/>
                <w:sz w:val="18"/>
                <w:szCs w:val="18"/>
              </w:rPr>
              <w:t>incidents</w:t>
            </w:r>
            <w:r>
              <w:rPr>
                <w:rFonts w:ascii="Calibri" w:eastAsia="Times New Roman" w:hAnsi="Calibri" w:cs="Calibri"/>
                <w:color w:val="000000"/>
                <w:sz w:val="18"/>
                <w:szCs w:val="18"/>
              </w:rPr>
              <w:t xml:space="preserve"> is 1.1 or more</w:t>
            </w:r>
            <w:r w:rsidRPr="00636625">
              <w:rPr>
                <w:rFonts w:ascii="Calibri" w:eastAsia="Times New Roman" w:hAnsi="Calibri" w:cs="Calibri"/>
                <w:color w:val="000000"/>
                <w:sz w:val="18"/>
                <w:szCs w:val="18"/>
              </w:rPr>
              <w:t xml:space="preserve">, </w:t>
            </w:r>
            <w:r>
              <w:rPr>
                <w:rFonts w:ascii="Calibri" w:eastAsia="Times New Roman" w:hAnsi="Calibri" w:cs="Calibri"/>
                <w:b/>
                <w:color w:val="FF0000"/>
                <w:sz w:val="18"/>
                <w:szCs w:val="18"/>
              </w:rPr>
              <w:t>1 red star</w:t>
            </w:r>
            <w:r>
              <w:rPr>
                <w:rFonts w:ascii="Calibri" w:eastAsia="Times New Roman" w:hAnsi="Calibri" w:cs="Calibri"/>
                <w:color w:val="000000"/>
                <w:sz w:val="18"/>
                <w:szCs w:val="18"/>
              </w:rPr>
              <w:t xml:space="preserve"> is</w:t>
            </w:r>
            <w:r w:rsidRPr="00636625">
              <w:rPr>
                <w:rFonts w:ascii="Calibri" w:eastAsia="Times New Roman" w:hAnsi="Calibri" w:cs="Calibri"/>
                <w:color w:val="000000"/>
                <w:sz w:val="18"/>
                <w:szCs w:val="18"/>
              </w:rPr>
              <w:t xml:space="preserve"> displayed.</w:t>
            </w:r>
          </w:p>
          <w:p w14:paraId="191D53E5" w14:textId="77777777" w:rsidR="00A955F8" w:rsidRDefault="00A955F8" w:rsidP="00EE0E0A">
            <w:pPr>
              <w:spacing w:after="0" w:line="240" w:lineRule="auto"/>
              <w:rPr>
                <w:rFonts w:ascii="Calibri" w:eastAsia="Times New Roman" w:hAnsi="Calibri" w:cs="Calibri"/>
                <w:color w:val="000000"/>
                <w:sz w:val="18"/>
                <w:szCs w:val="18"/>
              </w:rPr>
            </w:pPr>
          </w:p>
        </w:tc>
      </w:tr>
      <w:tr w:rsidR="00A955F8" w:rsidRPr="00C740EA" w14:paraId="1B68F36F" w14:textId="77777777" w:rsidTr="00DA7EBE">
        <w:trPr>
          <w:cantSplit/>
          <w:trHeight w:val="620"/>
          <w:tblHeader/>
          <w:jc w:val="center"/>
        </w:trPr>
        <w:tc>
          <w:tcPr>
            <w:tcW w:w="1975" w:type="dxa"/>
            <w:shd w:val="clear" w:color="auto" w:fill="auto"/>
            <w:noWrap/>
            <w:hideMark/>
          </w:tcPr>
          <w:p w14:paraId="46A0A668" w14:textId="77777777" w:rsidR="00A955F8" w:rsidRPr="007E2520" w:rsidRDefault="00A955F8" w:rsidP="003413D6">
            <w:pPr>
              <w:spacing w:after="0" w:line="240" w:lineRule="auto"/>
              <w:rPr>
                <w:rFonts w:ascii="Calibri" w:eastAsia="Times New Roman" w:hAnsi="Calibri" w:cs="Calibri"/>
                <w:b/>
                <w:color w:val="000000"/>
                <w:sz w:val="18"/>
                <w:szCs w:val="18"/>
              </w:rPr>
            </w:pPr>
            <w:r w:rsidRPr="007E2520">
              <w:rPr>
                <w:rFonts w:ascii="Calibri" w:eastAsia="Times New Roman" w:hAnsi="Calibri" w:cs="Calibri"/>
                <w:b/>
                <w:color w:val="000000"/>
                <w:sz w:val="18"/>
                <w:szCs w:val="18"/>
              </w:rPr>
              <w:t>Overall Score</w:t>
            </w:r>
          </w:p>
        </w:tc>
        <w:tc>
          <w:tcPr>
            <w:tcW w:w="5040" w:type="dxa"/>
            <w:shd w:val="clear" w:color="auto" w:fill="auto"/>
            <w:hideMark/>
          </w:tcPr>
          <w:p w14:paraId="1C1CC8B6" w14:textId="77777777" w:rsidR="00A955F8" w:rsidRDefault="00A955F8" w:rsidP="00EE0E0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This</w:t>
            </w:r>
            <w:r w:rsidRPr="00D740AA">
              <w:rPr>
                <w:rFonts w:ascii="Calibri" w:eastAsia="Times New Roman" w:hAnsi="Calibri" w:cs="Calibri"/>
                <w:color w:val="000000"/>
                <w:sz w:val="18"/>
                <w:szCs w:val="18"/>
              </w:rPr>
              <w:t xml:space="preserve"> </w:t>
            </w:r>
            <w:r>
              <w:rPr>
                <w:rFonts w:ascii="Calibri" w:eastAsia="Times New Roman" w:hAnsi="Calibri" w:cs="Calibri"/>
                <w:color w:val="000000"/>
                <w:sz w:val="18"/>
                <w:szCs w:val="18"/>
              </w:rPr>
              <w:t>d</w:t>
            </w:r>
            <w:r w:rsidR="00B93FA9">
              <w:rPr>
                <w:rFonts w:ascii="Calibri" w:eastAsia="Times New Roman" w:hAnsi="Calibri" w:cs="Calibri"/>
                <w:color w:val="000000"/>
                <w:sz w:val="18"/>
                <w:szCs w:val="18"/>
              </w:rPr>
              <w:t>ata field represents a summary of the star rating</w:t>
            </w:r>
            <w:r>
              <w:rPr>
                <w:rFonts w:ascii="Calibri" w:eastAsia="Times New Roman" w:hAnsi="Calibri" w:cs="Calibri"/>
                <w:color w:val="000000"/>
                <w:sz w:val="18"/>
                <w:szCs w:val="18"/>
              </w:rPr>
              <w:t>.</w:t>
            </w:r>
          </w:p>
          <w:p w14:paraId="174CBB4C" w14:textId="77777777" w:rsidR="00A955F8" w:rsidRPr="00D740AA" w:rsidRDefault="00A955F8" w:rsidP="00EE0E0A">
            <w:pPr>
              <w:spacing w:after="0" w:line="240" w:lineRule="auto"/>
              <w:rPr>
                <w:rFonts w:ascii="Calibri" w:eastAsia="Times New Roman" w:hAnsi="Calibri" w:cs="Calibri"/>
                <w:color w:val="000000"/>
                <w:sz w:val="18"/>
                <w:szCs w:val="18"/>
              </w:rPr>
            </w:pPr>
          </w:p>
        </w:tc>
        <w:tc>
          <w:tcPr>
            <w:tcW w:w="7020" w:type="dxa"/>
          </w:tcPr>
          <w:p w14:paraId="75BA0987" w14:textId="77777777" w:rsidR="00A955F8" w:rsidRDefault="00A955F8" w:rsidP="00EE0E0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If the agency has no red stars on the report, </w:t>
            </w:r>
            <w:r w:rsidRPr="00D261C4">
              <w:rPr>
                <w:rFonts w:ascii="Calibri" w:eastAsia="Times New Roman" w:hAnsi="Calibri" w:cs="Calibri"/>
                <w:b/>
                <w:color w:val="00B050"/>
                <w:sz w:val="18"/>
                <w:szCs w:val="18"/>
              </w:rPr>
              <w:t>3 green stars</w:t>
            </w:r>
            <w:r w:rsidRPr="00D261C4">
              <w:rPr>
                <w:rFonts w:ascii="Calibri" w:eastAsia="Times New Roman" w:hAnsi="Calibri" w:cs="Calibri"/>
                <w:color w:val="00B050"/>
                <w:sz w:val="18"/>
                <w:szCs w:val="18"/>
              </w:rPr>
              <w:t xml:space="preserve"> </w:t>
            </w:r>
            <w:r>
              <w:rPr>
                <w:rFonts w:ascii="Calibri" w:eastAsia="Times New Roman" w:hAnsi="Calibri" w:cs="Calibri"/>
                <w:color w:val="000000"/>
                <w:sz w:val="18"/>
                <w:szCs w:val="18"/>
              </w:rPr>
              <w:t>are displayed</w:t>
            </w:r>
          </w:p>
          <w:p w14:paraId="7D0C85B6" w14:textId="17755904" w:rsidR="00A955F8" w:rsidRDefault="00A955F8" w:rsidP="00EE0E0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I</w:t>
            </w:r>
            <w:r w:rsidR="008C64B2">
              <w:rPr>
                <w:rFonts w:ascii="Calibri" w:eastAsia="Times New Roman" w:hAnsi="Calibri" w:cs="Calibri"/>
                <w:color w:val="000000"/>
                <w:sz w:val="18"/>
                <w:szCs w:val="18"/>
              </w:rPr>
              <w:t>f the agency has 1 or</w:t>
            </w:r>
            <w:r w:rsidR="00441C86">
              <w:rPr>
                <w:rFonts w:ascii="Calibri" w:eastAsia="Times New Roman" w:hAnsi="Calibri" w:cs="Calibri"/>
                <w:color w:val="000000"/>
                <w:sz w:val="18"/>
                <w:szCs w:val="18"/>
              </w:rPr>
              <w:t xml:space="preserve"> 2</w:t>
            </w:r>
            <w:r>
              <w:rPr>
                <w:rFonts w:ascii="Calibri" w:eastAsia="Times New Roman" w:hAnsi="Calibri" w:cs="Calibri"/>
                <w:color w:val="000000"/>
                <w:sz w:val="18"/>
                <w:szCs w:val="18"/>
              </w:rPr>
              <w:t xml:space="preserve"> red stars, </w:t>
            </w:r>
            <w:r w:rsidRPr="00D261C4">
              <w:rPr>
                <w:rFonts w:ascii="Calibri" w:eastAsia="Times New Roman" w:hAnsi="Calibri" w:cs="Calibri"/>
                <w:b/>
                <w:color w:val="FFC000"/>
                <w:sz w:val="18"/>
                <w:szCs w:val="18"/>
              </w:rPr>
              <w:t>2 yellow stars</w:t>
            </w:r>
            <w:r w:rsidRPr="00D261C4">
              <w:rPr>
                <w:rFonts w:ascii="Calibri" w:eastAsia="Times New Roman" w:hAnsi="Calibri" w:cs="Calibri"/>
                <w:color w:val="FFC000"/>
                <w:sz w:val="18"/>
                <w:szCs w:val="18"/>
              </w:rPr>
              <w:t xml:space="preserve"> </w:t>
            </w:r>
            <w:r>
              <w:rPr>
                <w:rFonts w:ascii="Calibri" w:eastAsia="Times New Roman" w:hAnsi="Calibri" w:cs="Calibri"/>
                <w:color w:val="000000"/>
                <w:sz w:val="18"/>
                <w:szCs w:val="18"/>
              </w:rPr>
              <w:t>are displayed</w:t>
            </w:r>
          </w:p>
          <w:p w14:paraId="6472991E" w14:textId="77777777" w:rsidR="00A955F8" w:rsidRDefault="00A955F8" w:rsidP="00EE0E0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If the agency has 3 or more red stars, </w:t>
            </w:r>
            <w:r w:rsidRPr="00D261C4">
              <w:rPr>
                <w:rFonts w:ascii="Calibri" w:eastAsia="Times New Roman" w:hAnsi="Calibri" w:cs="Calibri"/>
                <w:b/>
                <w:color w:val="FF0000"/>
                <w:sz w:val="18"/>
                <w:szCs w:val="18"/>
              </w:rPr>
              <w:t>1 red star</w:t>
            </w:r>
            <w:r w:rsidRPr="00D261C4">
              <w:rPr>
                <w:rFonts w:ascii="Calibri" w:eastAsia="Times New Roman" w:hAnsi="Calibri" w:cs="Calibri"/>
                <w:color w:val="FF0000"/>
                <w:sz w:val="18"/>
                <w:szCs w:val="18"/>
              </w:rPr>
              <w:t xml:space="preserve"> </w:t>
            </w:r>
            <w:r>
              <w:rPr>
                <w:rFonts w:ascii="Calibri" w:eastAsia="Times New Roman" w:hAnsi="Calibri" w:cs="Calibri"/>
                <w:color w:val="000000"/>
                <w:sz w:val="18"/>
                <w:szCs w:val="18"/>
              </w:rPr>
              <w:t>is displayed.</w:t>
            </w:r>
          </w:p>
        </w:tc>
      </w:tr>
      <w:tr w:rsidR="00B221AB" w:rsidRPr="00C740EA" w14:paraId="5DE8B5DE" w14:textId="77777777" w:rsidTr="00714754">
        <w:trPr>
          <w:cantSplit/>
          <w:trHeight w:val="552"/>
          <w:tblHeader/>
          <w:jc w:val="center"/>
        </w:trPr>
        <w:tc>
          <w:tcPr>
            <w:tcW w:w="1975" w:type="dxa"/>
            <w:vMerge w:val="restart"/>
            <w:shd w:val="clear" w:color="auto" w:fill="auto"/>
            <w:noWrap/>
          </w:tcPr>
          <w:p w14:paraId="244FB381" w14:textId="77777777" w:rsidR="00B221AB" w:rsidRPr="007E2520" w:rsidRDefault="00B221AB" w:rsidP="003413D6">
            <w:pPr>
              <w:spacing w:after="0" w:line="240" w:lineRule="auto"/>
              <w:rPr>
                <w:rFonts w:ascii="Calibri" w:eastAsia="Times New Roman" w:hAnsi="Calibri" w:cs="Calibri"/>
                <w:b/>
                <w:color w:val="000000"/>
                <w:sz w:val="18"/>
                <w:szCs w:val="18"/>
              </w:rPr>
            </w:pPr>
            <w:r>
              <w:rPr>
                <w:rFonts w:ascii="Calibri" w:eastAsia="Times New Roman" w:hAnsi="Calibri" w:cs="Calibri"/>
                <w:b/>
                <w:color w:val="000000"/>
                <w:sz w:val="18"/>
                <w:szCs w:val="18"/>
              </w:rPr>
              <w:t>Notes</w:t>
            </w:r>
          </w:p>
        </w:tc>
        <w:tc>
          <w:tcPr>
            <w:tcW w:w="5040" w:type="dxa"/>
            <w:shd w:val="clear" w:color="auto" w:fill="auto"/>
          </w:tcPr>
          <w:p w14:paraId="6D8B17B4" w14:textId="2C7D7CB1" w:rsidR="00B221AB" w:rsidRDefault="00B221AB" w:rsidP="00EE0E0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*Provisional License</w:t>
            </w:r>
          </w:p>
        </w:tc>
        <w:tc>
          <w:tcPr>
            <w:tcW w:w="7020" w:type="dxa"/>
            <w:shd w:val="clear" w:color="auto" w:fill="auto"/>
          </w:tcPr>
          <w:p w14:paraId="7E85610A" w14:textId="193894CF" w:rsidR="00B221AB" w:rsidRDefault="00B221AB" w:rsidP="00EE0E0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A provisional license is issued when</w:t>
            </w:r>
            <w:r w:rsidRPr="004809B6">
              <w:rPr>
                <w:rFonts w:ascii="Calibri" w:eastAsia="Times New Roman" w:hAnsi="Calibri" w:cs="Calibri"/>
                <w:color w:val="000000"/>
                <w:sz w:val="18"/>
                <w:szCs w:val="18"/>
              </w:rPr>
              <w:t xml:space="preserve"> licensing requirements have been left unmet and the unmet licensing requirements directly endanger the health, safety, or well-being of the individuals served</w:t>
            </w:r>
            <w:r w:rsidR="00C85D6A">
              <w:rPr>
                <w:rFonts w:ascii="Calibri" w:eastAsia="Times New Roman" w:hAnsi="Calibri" w:cs="Calibri"/>
                <w:color w:val="000000"/>
                <w:sz w:val="18"/>
                <w:szCs w:val="18"/>
              </w:rPr>
              <w:t>, or if there is substantial non-compliance</w:t>
            </w:r>
            <w:r w:rsidRPr="004809B6">
              <w:rPr>
                <w:rFonts w:ascii="Calibri" w:eastAsia="Times New Roman" w:hAnsi="Calibri" w:cs="Calibri"/>
                <w:color w:val="000000"/>
                <w:sz w:val="18"/>
                <w:szCs w:val="18"/>
              </w:rPr>
              <w:t xml:space="preserve">.  </w:t>
            </w:r>
            <w:r>
              <w:rPr>
                <w:rFonts w:ascii="Calibri" w:eastAsia="Times New Roman" w:hAnsi="Calibri" w:cs="Calibri"/>
                <w:color w:val="000000"/>
                <w:sz w:val="18"/>
                <w:szCs w:val="18"/>
              </w:rPr>
              <w:t xml:space="preserve">A provisional license is considered a negative licensing action. The agency is re-inspected within </w:t>
            </w:r>
            <w:r w:rsidR="00C85D6A">
              <w:rPr>
                <w:rFonts w:ascii="Calibri" w:eastAsia="Times New Roman" w:hAnsi="Calibri" w:cs="Calibri"/>
                <w:color w:val="000000"/>
                <w:sz w:val="18"/>
                <w:szCs w:val="18"/>
              </w:rPr>
              <w:t xml:space="preserve">3 or </w:t>
            </w:r>
            <w:r>
              <w:rPr>
                <w:rFonts w:ascii="Calibri" w:eastAsia="Times New Roman" w:hAnsi="Calibri" w:cs="Calibri"/>
                <w:color w:val="000000"/>
                <w:sz w:val="18"/>
                <w:szCs w:val="18"/>
              </w:rPr>
              <w:t>6 months</w:t>
            </w:r>
            <w:r w:rsidR="00C85D6A">
              <w:rPr>
                <w:rFonts w:ascii="Calibri" w:eastAsia="Times New Roman" w:hAnsi="Calibri" w:cs="Calibri"/>
                <w:color w:val="000000"/>
                <w:sz w:val="18"/>
                <w:szCs w:val="18"/>
              </w:rPr>
              <w:t xml:space="preserve"> (depending on the gravity of the deficiencies)</w:t>
            </w:r>
            <w:r>
              <w:rPr>
                <w:rFonts w:ascii="Calibri" w:eastAsia="Times New Roman" w:hAnsi="Calibri" w:cs="Calibri"/>
                <w:color w:val="000000"/>
                <w:sz w:val="18"/>
                <w:szCs w:val="18"/>
              </w:rPr>
              <w:t xml:space="preserve"> to ensure the unmet standards have been corrected. </w:t>
            </w:r>
          </w:p>
        </w:tc>
      </w:tr>
      <w:tr w:rsidR="00B221AB" w:rsidRPr="00C740EA" w14:paraId="7E1A0D0A" w14:textId="77777777" w:rsidTr="00714754">
        <w:trPr>
          <w:cantSplit/>
          <w:trHeight w:val="552"/>
          <w:tblHeader/>
          <w:jc w:val="center"/>
        </w:trPr>
        <w:tc>
          <w:tcPr>
            <w:tcW w:w="1975" w:type="dxa"/>
            <w:vMerge/>
            <w:shd w:val="clear" w:color="auto" w:fill="auto"/>
            <w:noWrap/>
          </w:tcPr>
          <w:p w14:paraId="1A25BCB3" w14:textId="77777777" w:rsidR="00B221AB" w:rsidRDefault="00B221AB" w:rsidP="00E61799">
            <w:pPr>
              <w:spacing w:after="0" w:line="240" w:lineRule="auto"/>
              <w:rPr>
                <w:rFonts w:ascii="Calibri" w:eastAsia="Times New Roman" w:hAnsi="Calibri" w:cs="Calibri"/>
                <w:b/>
                <w:color w:val="000000"/>
                <w:sz w:val="18"/>
                <w:szCs w:val="18"/>
              </w:rPr>
            </w:pPr>
          </w:p>
        </w:tc>
        <w:tc>
          <w:tcPr>
            <w:tcW w:w="5040" w:type="dxa"/>
            <w:shd w:val="clear" w:color="auto" w:fill="auto"/>
          </w:tcPr>
          <w:p w14:paraId="7D75168F" w14:textId="58A18CBC" w:rsidR="00B221AB" w:rsidRDefault="00B221AB" w:rsidP="00E61799">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**Incident</w:t>
            </w:r>
          </w:p>
        </w:tc>
        <w:tc>
          <w:tcPr>
            <w:tcW w:w="7020" w:type="dxa"/>
            <w:shd w:val="clear" w:color="auto" w:fill="auto"/>
          </w:tcPr>
          <w:p w14:paraId="34C4D487" w14:textId="11F26CC1" w:rsidR="00B221AB" w:rsidRDefault="00C67D58" w:rsidP="00C67D58">
            <w:pPr>
              <w:spacing w:after="0" w:line="240" w:lineRule="auto"/>
              <w:rPr>
                <w:rFonts w:ascii="Calibri" w:eastAsia="Times New Roman" w:hAnsi="Calibri" w:cs="Calibri"/>
                <w:color w:val="000000"/>
                <w:sz w:val="18"/>
                <w:szCs w:val="18"/>
              </w:rPr>
            </w:pPr>
            <w:r w:rsidRPr="00C67D58">
              <w:rPr>
                <w:rFonts w:ascii="Calibri" w:eastAsia="Times New Roman" w:hAnsi="Calibri" w:cs="Calibri"/>
                <w:color w:val="000000"/>
                <w:sz w:val="18"/>
                <w:szCs w:val="18"/>
              </w:rPr>
              <w:t>Incidents may include “events” (hospitalization, accidental injury) and/or “allegations” (abuse, neglect, exploitation). It is not uncommon for an incident to include mo</w:t>
            </w:r>
            <w:r>
              <w:rPr>
                <w:rFonts w:ascii="Calibri" w:eastAsia="Times New Roman" w:hAnsi="Calibri" w:cs="Calibri"/>
                <w:color w:val="000000"/>
                <w:sz w:val="18"/>
                <w:szCs w:val="18"/>
              </w:rPr>
              <w:t xml:space="preserve">re than 1 allegation or event. </w:t>
            </w:r>
            <w:r w:rsidR="00B221AB">
              <w:rPr>
                <w:rFonts w:ascii="Calibri" w:eastAsia="Times New Roman" w:hAnsi="Calibri" w:cs="Calibri"/>
                <w:color w:val="000000"/>
                <w:sz w:val="18"/>
                <w:szCs w:val="18"/>
              </w:rPr>
              <w:t xml:space="preserve">Incidents are reportable to the Department per Administrative Order 2:05, “Incident Management and Reporting”. </w:t>
            </w:r>
          </w:p>
        </w:tc>
      </w:tr>
      <w:tr w:rsidR="00B221AB" w:rsidRPr="00C740EA" w14:paraId="233AF680" w14:textId="77777777" w:rsidTr="00B955EE">
        <w:trPr>
          <w:cantSplit/>
          <w:trHeight w:val="620"/>
          <w:tblHeader/>
          <w:jc w:val="center"/>
        </w:trPr>
        <w:tc>
          <w:tcPr>
            <w:tcW w:w="1975" w:type="dxa"/>
            <w:vMerge/>
            <w:shd w:val="clear" w:color="auto" w:fill="auto"/>
            <w:noWrap/>
          </w:tcPr>
          <w:p w14:paraId="4395DB97" w14:textId="77777777" w:rsidR="00B221AB" w:rsidRDefault="00B221AB" w:rsidP="00E61799">
            <w:pPr>
              <w:spacing w:after="0" w:line="240" w:lineRule="auto"/>
              <w:rPr>
                <w:rFonts w:ascii="Calibri" w:eastAsia="Times New Roman" w:hAnsi="Calibri" w:cs="Calibri"/>
                <w:b/>
                <w:color w:val="000000"/>
                <w:sz w:val="18"/>
                <w:szCs w:val="18"/>
              </w:rPr>
            </w:pPr>
          </w:p>
        </w:tc>
        <w:tc>
          <w:tcPr>
            <w:tcW w:w="5040" w:type="dxa"/>
            <w:shd w:val="clear" w:color="auto" w:fill="auto"/>
          </w:tcPr>
          <w:p w14:paraId="4F039C2C" w14:textId="147BBE7E" w:rsidR="00B221AB" w:rsidRDefault="00B221AB" w:rsidP="00E61799">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Substantiated allegations</w:t>
            </w:r>
          </w:p>
          <w:p w14:paraId="671616CE" w14:textId="0A53446A" w:rsidR="00B221AB" w:rsidRDefault="00B221AB" w:rsidP="00E61799">
            <w:pPr>
              <w:spacing w:after="0" w:line="240" w:lineRule="auto"/>
              <w:rPr>
                <w:rFonts w:ascii="Calibri" w:eastAsia="Times New Roman" w:hAnsi="Calibri" w:cs="Calibri"/>
                <w:color w:val="000000"/>
                <w:sz w:val="18"/>
                <w:szCs w:val="18"/>
              </w:rPr>
            </w:pPr>
          </w:p>
        </w:tc>
        <w:tc>
          <w:tcPr>
            <w:tcW w:w="7020" w:type="dxa"/>
            <w:shd w:val="clear" w:color="auto" w:fill="auto"/>
          </w:tcPr>
          <w:p w14:paraId="5575CCB4" w14:textId="588B30C7" w:rsidR="00B221AB" w:rsidRDefault="00B221AB" w:rsidP="00E61799">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A substantiated finding means that there</w:t>
            </w:r>
            <w:r w:rsidRPr="00854311">
              <w:rPr>
                <w:rFonts w:ascii="Times New Roman" w:hAnsi="Times New Roman" w:cs="Times New Roman"/>
                <w:sz w:val="24"/>
                <w:szCs w:val="24"/>
              </w:rPr>
              <w:t xml:space="preserve"> </w:t>
            </w:r>
            <w:r>
              <w:rPr>
                <w:rFonts w:ascii="Calibri" w:eastAsia="Times New Roman" w:hAnsi="Calibri" w:cs="Calibri"/>
                <w:color w:val="000000"/>
                <w:sz w:val="18"/>
                <w:szCs w:val="18"/>
              </w:rPr>
              <w:t>wa</w:t>
            </w:r>
            <w:r w:rsidRPr="00854311">
              <w:rPr>
                <w:rFonts w:ascii="Calibri" w:eastAsia="Times New Roman" w:hAnsi="Calibri" w:cs="Calibri"/>
                <w:color w:val="000000"/>
                <w:sz w:val="18"/>
                <w:szCs w:val="18"/>
              </w:rPr>
              <w:t>s a preponderance of credible evidence that an allegation or a situation is true and/or occurred.</w:t>
            </w:r>
            <w:r>
              <w:rPr>
                <w:rFonts w:ascii="Calibri" w:eastAsia="Times New Roman" w:hAnsi="Calibri" w:cs="Calibri"/>
                <w:color w:val="000000"/>
                <w:sz w:val="18"/>
                <w:szCs w:val="18"/>
              </w:rPr>
              <w:t xml:space="preserve"> The Scoring Metric for the columns </w:t>
            </w:r>
            <w:r w:rsidRPr="004931AF">
              <w:rPr>
                <w:rFonts w:ascii="Calibri" w:eastAsia="Times New Roman" w:hAnsi="Calibri" w:cs="Calibri"/>
                <w:b/>
                <w:color w:val="000000"/>
                <w:sz w:val="18"/>
                <w:szCs w:val="18"/>
              </w:rPr>
              <w:t xml:space="preserve">People Who Live in the Homes are Free of </w:t>
            </w:r>
            <w:r>
              <w:rPr>
                <w:rFonts w:ascii="Calibri" w:eastAsia="Times New Roman" w:hAnsi="Calibri" w:cs="Calibri"/>
                <w:b/>
                <w:color w:val="000000"/>
                <w:sz w:val="18"/>
                <w:szCs w:val="18"/>
              </w:rPr>
              <w:t xml:space="preserve">Serious </w:t>
            </w:r>
            <w:r w:rsidRPr="004931AF">
              <w:rPr>
                <w:rFonts w:ascii="Calibri" w:eastAsia="Times New Roman" w:hAnsi="Calibri" w:cs="Calibri"/>
                <w:b/>
                <w:color w:val="000000"/>
                <w:sz w:val="18"/>
                <w:szCs w:val="18"/>
              </w:rPr>
              <w:t>Allegations of Abuse</w:t>
            </w:r>
            <w:r>
              <w:rPr>
                <w:rFonts w:ascii="Calibri" w:eastAsia="Times New Roman" w:hAnsi="Calibri" w:cs="Calibri"/>
                <w:b/>
                <w:color w:val="000000"/>
                <w:sz w:val="18"/>
                <w:szCs w:val="18"/>
              </w:rPr>
              <w:t xml:space="preserve">, Neglect and Exploitation </w:t>
            </w:r>
            <w:r w:rsidRPr="00CC1DCA">
              <w:rPr>
                <w:rFonts w:ascii="Calibri" w:eastAsia="Times New Roman" w:hAnsi="Calibri" w:cs="Calibri"/>
                <w:color w:val="000000"/>
                <w:sz w:val="18"/>
                <w:szCs w:val="18"/>
              </w:rPr>
              <w:t xml:space="preserve">and </w:t>
            </w:r>
            <w:r w:rsidRPr="00CC1DCA">
              <w:rPr>
                <w:rFonts w:ascii="Calibri" w:eastAsia="Times New Roman" w:hAnsi="Calibri" w:cs="Calibri"/>
                <w:b/>
                <w:color w:val="000000"/>
                <w:sz w:val="18"/>
                <w:szCs w:val="18"/>
              </w:rPr>
              <w:t>The Agency Takes Ap</w:t>
            </w:r>
            <w:r>
              <w:rPr>
                <w:rFonts w:ascii="Calibri" w:eastAsia="Times New Roman" w:hAnsi="Calibri" w:cs="Calibri"/>
                <w:b/>
                <w:color w:val="000000"/>
                <w:sz w:val="18"/>
                <w:szCs w:val="18"/>
              </w:rPr>
              <w:t>propriate Steps to Reduce the Oc</w:t>
            </w:r>
            <w:r w:rsidRPr="00CC1DCA">
              <w:rPr>
                <w:rFonts w:ascii="Calibri" w:eastAsia="Times New Roman" w:hAnsi="Calibri" w:cs="Calibri"/>
                <w:b/>
                <w:color w:val="000000"/>
                <w:sz w:val="18"/>
                <w:szCs w:val="18"/>
              </w:rPr>
              <w:t>currence of Critical Incidents for People Living in the Home</w:t>
            </w:r>
            <w:r>
              <w:rPr>
                <w:rFonts w:ascii="Calibri" w:eastAsia="Times New Roman" w:hAnsi="Calibri" w:cs="Calibri"/>
                <w:b/>
                <w:color w:val="000000"/>
                <w:sz w:val="18"/>
                <w:szCs w:val="18"/>
              </w:rPr>
              <w:t>s</w:t>
            </w:r>
            <w:r w:rsidRPr="00CC1DCA">
              <w:rPr>
                <w:rFonts w:ascii="Calibri" w:eastAsia="Times New Roman" w:hAnsi="Calibri" w:cs="Calibri"/>
                <w:b/>
                <w:color w:val="000000"/>
                <w:sz w:val="18"/>
                <w:szCs w:val="18"/>
              </w:rPr>
              <w:t xml:space="preserve"> </w:t>
            </w:r>
            <w:r w:rsidRPr="004931AF">
              <w:rPr>
                <w:rFonts w:ascii="Calibri" w:eastAsia="Times New Roman" w:hAnsi="Calibri" w:cs="Calibri"/>
                <w:color w:val="000000"/>
                <w:sz w:val="18"/>
                <w:szCs w:val="18"/>
              </w:rPr>
              <w:t>is calculated</w:t>
            </w:r>
            <w:r>
              <w:rPr>
                <w:rFonts w:ascii="Calibri" w:eastAsia="Times New Roman" w:hAnsi="Calibri" w:cs="Calibri"/>
                <w:b/>
                <w:color w:val="000000"/>
                <w:sz w:val="18"/>
                <w:szCs w:val="18"/>
              </w:rPr>
              <w:t xml:space="preserve"> </w:t>
            </w:r>
            <w:r>
              <w:rPr>
                <w:rFonts w:ascii="Calibri" w:eastAsia="Times New Roman" w:hAnsi="Calibri" w:cs="Calibri"/>
                <w:color w:val="000000"/>
                <w:sz w:val="18"/>
                <w:szCs w:val="18"/>
              </w:rPr>
              <w:t>by counting each distinct allegation and/or event.</w:t>
            </w:r>
          </w:p>
        </w:tc>
      </w:tr>
      <w:tr w:rsidR="00B221AB" w:rsidRPr="00C740EA" w14:paraId="706FABDB" w14:textId="77777777" w:rsidTr="00DA7EBE">
        <w:trPr>
          <w:cantSplit/>
          <w:trHeight w:val="620"/>
          <w:tblHeader/>
          <w:jc w:val="center"/>
        </w:trPr>
        <w:tc>
          <w:tcPr>
            <w:tcW w:w="1975" w:type="dxa"/>
            <w:vMerge/>
            <w:shd w:val="clear" w:color="auto" w:fill="auto"/>
            <w:noWrap/>
          </w:tcPr>
          <w:p w14:paraId="2F1F781D" w14:textId="77777777" w:rsidR="00B221AB" w:rsidRDefault="00B221AB" w:rsidP="00E61799">
            <w:pPr>
              <w:spacing w:after="0" w:line="240" w:lineRule="auto"/>
              <w:rPr>
                <w:rFonts w:ascii="Calibri" w:eastAsia="Times New Roman" w:hAnsi="Calibri" w:cs="Calibri"/>
                <w:b/>
                <w:color w:val="000000"/>
                <w:sz w:val="18"/>
                <w:szCs w:val="18"/>
              </w:rPr>
            </w:pPr>
          </w:p>
        </w:tc>
        <w:tc>
          <w:tcPr>
            <w:tcW w:w="5040" w:type="dxa"/>
            <w:shd w:val="clear" w:color="auto" w:fill="auto"/>
          </w:tcPr>
          <w:p w14:paraId="654FC7E6" w14:textId="3BA6D725" w:rsidR="00B221AB" w:rsidRDefault="00B221AB" w:rsidP="00E61799">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Rate</w:t>
            </w:r>
          </w:p>
        </w:tc>
        <w:tc>
          <w:tcPr>
            <w:tcW w:w="7020" w:type="dxa"/>
          </w:tcPr>
          <w:p w14:paraId="40B4BAD1" w14:textId="159E1100" w:rsidR="00B221AB" w:rsidRPr="00BA7E71" w:rsidRDefault="00B221AB" w:rsidP="00E61799">
            <w:pPr>
              <w:spacing w:after="0" w:line="240" w:lineRule="auto"/>
              <w:rPr>
                <w:rFonts w:ascii="Calibri" w:eastAsia="Times New Roman" w:hAnsi="Calibri" w:cs="Calibri"/>
                <w:color w:val="000000"/>
                <w:sz w:val="18"/>
                <w:szCs w:val="18"/>
              </w:rPr>
            </w:pPr>
            <w:r w:rsidRPr="00BA7E71">
              <w:rPr>
                <w:rFonts w:ascii="Calibri" w:eastAsia="Times New Roman" w:hAnsi="Calibri" w:cs="Calibri"/>
                <w:color w:val="000000"/>
                <w:sz w:val="18"/>
                <w:szCs w:val="18"/>
              </w:rPr>
              <w:t>We use</w:t>
            </w:r>
            <w:r>
              <w:rPr>
                <w:rFonts w:ascii="Calibri" w:eastAsia="Times New Roman" w:hAnsi="Calibri" w:cs="Calibri"/>
                <w:color w:val="000000"/>
                <w:sz w:val="18"/>
                <w:szCs w:val="18"/>
              </w:rPr>
              <w:t xml:space="preserve"> a rate </w:t>
            </w:r>
            <w:r w:rsidRPr="00BA7E71">
              <w:rPr>
                <w:rFonts w:ascii="Calibri" w:eastAsia="Times New Roman" w:hAnsi="Calibri" w:cs="Calibri"/>
                <w:color w:val="000000"/>
                <w:sz w:val="18"/>
                <w:szCs w:val="18"/>
              </w:rPr>
              <w:t xml:space="preserve">per 25 individuals served </w:t>
            </w:r>
            <w:r>
              <w:rPr>
                <w:rFonts w:ascii="Calibri" w:eastAsia="Times New Roman" w:hAnsi="Calibri" w:cs="Calibri"/>
                <w:color w:val="000000"/>
                <w:sz w:val="18"/>
                <w:szCs w:val="18"/>
              </w:rPr>
              <w:t xml:space="preserve">to capture </w:t>
            </w:r>
            <w:r w:rsidRPr="00BA7E71">
              <w:rPr>
                <w:rFonts w:ascii="Calibri" w:eastAsia="Times New Roman" w:hAnsi="Calibri" w:cs="Calibri"/>
                <w:color w:val="000000"/>
                <w:sz w:val="18"/>
                <w:szCs w:val="18"/>
              </w:rPr>
              <w:t>proportion</w:t>
            </w:r>
            <w:r>
              <w:rPr>
                <w:rFonts w:ascii="Calibri" w:eastAsia="Times New Roman" w:hAnsi="Calibri" w:cs="Calibri"/>
                <w:color w:val="000000"/>
                <w:sz w:val="18"/>
                <w:szCs w:val="18"/>
              </w:rPr>
              <w:t>s</w:t>
            </w:r>
            <w:r w:rsidRPr="00BA7E71">
              <w:rPr>
                <w:rFonts w:ascii="Calibri" w:eastAsia="Times New Roman" w:hAnsi="Calibri" w:cs="Calibri"/>
                <w:color w:val="000000"/>
                <w:sz w:val="18"/>
                <w:szCs w:val="18"/>
              </w:rPr>
              <w:t xml:space="preserve"> be</w:t>
            </w:r>
            <w:r>
              <w:rPr>
                <w:rFonts w:ascii="Calibri" w:eastAsia="Times New Roman" w:hAnsi="Calibri" w:cs="Calibri"/>
                <w:color w:val="000000"/>
                <w:sz w:val="18"/>
                <w:szCs w:val="18"/>
              </w:rPr>
              <w:t>cause agency sizes vary greatly.</w:t>
            </w:r>
            <w:r w:rsidRPr="00BA7E71">
              <w:rPr>
                <w:rFonts w:ascii="Calibri" w:eastAsia="Times New Roman" w:hAnsi="Calibri" w:cs="Calibri"/>
                <w:color w:val="000000"/>
                <w:sz w:val="18"/>
                <w:szCs w:val="18"/>
              </w:rPr>
              <w:t xml:space="preserve"> </w:t>
            </w:r>
            <w:r>
              <w:rPr>
                <w:rFonts w:ascii="Calibri" w:eastAsia="Times New Roman" w:hAnsi="Calibri" w:cs="Calibri"/>
                <w:color w:val="000000"/>
                <w:sz w:val="18"/>
                <w:szCs w:val="18"/>
              </w:rPr>
              <w:t>U</w:t>
            </w:r>
            <w:r w:rsidRPr="00BA7E71">
              <w:rPr>
                <w:rFonts w:ascii="Calibri" w:eastAsia="Times New Roman" w:hAnsi="Calibri" w:cs="Calibri"/>
                <w:color w:val="000000"/>
                <w:sz w:val="18"/>
                <w:szCs w:val="18"/>
              </w:rPr>
              <w:t>sing a rate helps to even out the playing field so that the size of the agency doesn</w:t>
            </w:r>
            <w:r>
              <w:rPr>
                <w:rFonts w:ascii="Calibri" w:eastAsia="Times New Roman" w:hAnsi="Calibri" w:cs="Calibri"/>
                <w:color w:val="000000"/>
                <w:sz w:val="18"/>
                <w:szCs w:val="18"/>
              </w:rPr>
              <w:t>’t have as much of an impact.  The rate per 25 is calculated by dividing the number of substantiated allegations by the number of people who live in the licensed homes and multiplying the result (quotient) by 25.</w:t>
            </w:r>
          </w:p>
        </w:tc>
      </w:tr>
    </w:tbl>
    <w:p w14:paraId="280F4F90" w14:textId="77777777" w:rsidR="003E41B3" w:rsidRDefault="003E41B3" w:rsidP="003413D6"/>
    <w:sectPr w:rsidR="003E41B3" w:rsidSect="00DA7EBE">
      <w:pgSz w:w="15840" w:h="12240" w:orient="landscape"/>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A7A83" w14:textId="77777777" w:rsidR="00BA2393" w:rsidRDefault="00BA2393" w:rsidP="003E41B3">
      <w:pPr>
        <w:spacing w:after="0" w:line="240" w:lineRule="auto"/>
      </w:pPr>
      <w:r>
        <w:separator/>
      </w:r>
    </w:p>
  </w:endnote>
  <w:endnote w:type="continuationSeparator" w:id="0">
    <w:p w14:paraId="4797FC8C" w14:textId="77777777" w:rsidR="00BA2393" w:rsidRDefault="00BA2393" w:rsidP="003E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C037D" w14:textId="77777777" w:rsidR="00BA2393" w:rsidRDefault="00BA2393" w:rsidP="003E41B3">
      <w:pPr>
        <w:spacing w:after="0" w:line="240" w:lineRule="auto"/>
      </w:pPr>
      <w:r>
        <w:separator/>
      </w:r>
    </w:p>
  </w:footnote>
  <w:footnote w:type="continuationSeparator" w:id="0">
    <w:p w14:paraId="5C95C931" w14:textId="77777777" w:rsidR="00BA2393" w:rsidRDefault="00BA2393" w:rsidP="003E4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F7BC0"/>
    <w:multiLevelType w:val="hybridMultilevel"/>
    <w:tmpl w:val="16D689A0"/>
    <w:lvl w:ilvl="0" w:tplc="12AE1FB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B3"/>
    <w:rsid w:val="000440F0"/>
    <w:rsid w:val="00082F17"/>
    <w:rsid w:val="000A07FF"/>
    <w:rsid w:val="000A18E2"/>
    <w:rsid w:val="000C5826"/>
    <w:rsid w:val="000C6FCC"/>
    <w:rsid w:val="000D6AC9"/>
    <w:rsid w:val="00113F8F"/>
    <w:rsid w:val="00213D92"/>
    <w:rsid w:val="00220955"/>
    <w:rsid w:val="00225DFA"/>
    <w:rsid w:val="002944AD"/>
    <w:rsid w:val="002F616A"/>
    <w:rsid w:val="003031CF"/>
    <w:rsid w:val="00313970"/>
    <w:rsid w:val="003314EC"/>
    <w:rsid w:val="003413D6"/>
    <w:rsid w:val="00362ECD"/>
    <w:rsid w:val="003673C6"/>
    <w:rsid w:val="003E41B3"/>
    <w:rsid w:val="003E716F"/>
    <w:rsid w:val="00441C86"/>
    <w:rsid w:val="004713F2"/>
    <w:rsid w:val="00473EAD"/>
    <w:rsid w:val="004809B6"/>
    <w:rsid w:val="004931AF"/>
    <w:rsid w:val="004A1334"/>
    <w:rsid w:val="004E7FB0"/>
    <w:rsid w:val="004F1B36"/>
    <w:rsid w:val="00506917"/>
    <w:rsid w:val="00515778"/>
    <w:rsid w:val="00542651"/>
    <w:rsid w:val="005557D8"/>
    <w:rsid w:val="005600A2"/>
    <w:rsid w:val="00563FAC"/>
    <w:rsid w:val="00594D33"/>
    <w:rsid w:val="005D38D6"/>
    <w:rsid w:val="005F2682"/>
    <w:rsid w:val="005F5CEE"/>
    <w:rsid w:val="00630CEB"/>
    <w:rsid w:val="00636625"/>
    <w:rsid w:val="006427E9"/>
    <w:rsid w:val="00677180"/>
    <w:rsid w:val="00683F52"/>
    <w:rsid w:val="006E03D0"/>
    <w:rsid w:val="006F673A"/>
    <w:rsid w:val="00714754"/>
    <w:rsid w:val="00720D74"/>
    <w:rsid w:val="00724B0D"/>
    <w:rsid w:val="00781443"/>
    <w:rsid w:val="00793E60"/>
    <w:rsid w:val="007B758A"/>
    <w:rsid w:val="007E2520"/>
    <w:rsid w:val="00854311"/>
    <w:rsid w:val="008C64B2"/>
    <w:rsid w:val="008E4D3A"/>
    <w:rsid w:val="008E7324"/>
    <w:rsid w:val="008F4274"/>
    <w:rsid w:val="008F49E6"/>
    <w:rsid w:val="008F6178"/>
    <w:rsid w:val="00904C7F"/>
    <w:rsid w:val="009243B8"/>
    <w:rsid w:val="009339EA"/>
    <w:rsid w:val="00966AA7"/>
    <w:rsid w:val="00994115"/>
    <w:rsid w:val="009C4FCE"/>
    <w:rsid w:val="00A04EE6"/>
    <w:rsid w:val="00A319FE"/>
    <w:rsid w:val="00A859F4"/>
    <w:rsid w:val="00A955F8"/>
    <w:rsid w:val="00AC15E8"/>
    <w:rsid w:val="00B221AB"/>
    <w:rsid w:val="00B373A3"/>
    <w:rsid w:val="00B4494E"/>
    <w:rsid w:val="00B55884"/>
    <w:rsid w:val="00B6734D"/>
    <w:rsid w:val="00B93FA9"/>
    <w:rsid w:val="00BA2393"/>
    <w:rsid w:val="00BA7E71"/>
    <w:rsid w:val="00BC168F"/>
    <w:rsid w:val="00BC2E07"/>
    <w:rsid w:val="00BE6185"/>
    <w:rsid w:val="00C01055"/>
    <w:rsid w:val="00C0264F"/>
    <w:rsid w:val="00C05A7B"/>
    <w:rsid w:val="00C074AB"/>
    <w:rsid w:val="00C67D58"/>
    <w:rsid w:val="00C8125B"/>
    <w:rsid w:val="00C83F5F"/>
    <w:rsid w:val="00C85D6A"/>
    <w:rsid w:val="00CA1365"/>
    <w:rsid w:val="00CC1DCA"/>
    <w:rsid w:val="00CF08F3"/>
    <w:rsid w:val="00CF259D"/>
    <w:rsid w:val="00D2271E"/>
    <w:rsid w:val="00D23D8B"/>
    <w:rsid w:val="00D261C4"/>
    <w:rsid w:val="00D52694"/>
    <w:rsid w:val="00D6091C"/>
    <w:rsid w:val="00DA7EBE"/>
    <w:rsid w:val="00E3297A"/>
    <w:rsid w:val="00E61799"/>
    <w:rsid w:val="00E81EE6"/>
    <w:rsid w:val="00EC41DF"/>
    <w:rsid w:val="00EE0E0A"/>
    <w:rsid w:val="00F40C1D"/>
    <w:rsid w:val="00F93382"/>
    <w:rsid w:val="00FB0204"/>
    <w:rsid w:val="00FB499C"/>
    <w:rsid w:val="00FE0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97979"/>
  <w15:chartTrackingRefBased/>
  <w15:docId w15:val="{47963F4E-D656-418B-85FA-FBCAEB75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1B3"/>
  </w:style>
  <w:style w:type="paragraph" w:styleId="Footer">
    <w:name w:val="footer"/>
    <w:basedOn w:val="Normal"/>
    <w:link w:val="FooterChar"/>
    <w:uiPriority w:val="99"/>
    <w:unhideWhenUsed/>
    <w:rsid w:val="003E4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1B3"/>
  </w:style>
  <w:style w:type="table" w:styleId="TableGrid">
    <w:name w:val="Table Grid"/>
    <w:basedOn w:val="TableNormal"/>
    <w:uiPriority w:val="39"/>
    <w:rsid w:val="0036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41DF"/>
    <w:rPr>
      <w:color w:val="0563C1" w:themeColor="hyperlink"/>
      <w:u w:val="single"/>
    </w:rPr>
  </w:style>
  <w:style w:type="character" w:styleId="CommentReference">
    <w:name w:val="annotation reference"/>
    <w:basedOn w:val="DefaultParagraphFont"/>
    <w:uiPriority w:val="99"/>
    <w:semiHidden/>
    <w:unhideWhenUsed/>
    <w:rsid w:val="00FB499C"/>
    <w:rPr>
      <w:sz w:val="16"/>
      <w:szCs w:val="16"/>
    </w:rPr>
  </w:style>
  <w:style w:type="paragraph" w:styleId="CommentText">
    <w:name w:val="annotation text"/>
    <w:basedOn w:val="Normal"/>
    <w:link w:val="CommentTextChar"/>
    <w:uiPriority w:val="99"/>
    <w:semiHidden/>
    <w:unhideWhenUsed/>
    <w:rsid w:val="00FB499C"/>
    <w:pPr>
      <w:spacing w:line="240" w:lineRule="auto"/>
    </w:pPr>
    <w:rPr>
      <w:sz w:val="20"/>
      <w:szCs w:val="20"/>
    </w:rPr>
  </w:style>
  <w:style w:type="character" w:customStyle="1" w:styleId="CommentTextChar">
    <w:name w:val="Comment Text Char"/>
    <w:basedOn w:val="DefaultParagraphFont"/>
    <w:link w:val="CommentText"/>
    <w:uiPriority w:val="99"/>
    <w:semiHidden/>
    <w:rsid w:val="00FB499C"/>
    <w:rPr>
      <w:sz w:val="20"/>
      <w:szCs w:val="20"/>
    </w:rPr>
  </w:style>
  <w:style w:type="paragraph" w:styleId="CommentSubject">
    <w:name w:val="annotation subject"/>
    <w:basedOn w:val="CommentText"/>
    <w:next w:val="CommentText"/>
    <w:link w:val="CommentSubjectChar"/>
    <w:uiPriority w:val="99"/>
    <w:semiHidden/>
    <w:unhideWhenUsed/>
    <w:rsid w:val="00FB499C"/>
    <w:rPr>
      <w:b/>
      <w:bCs/>
    </w:rPr>
  </w:style>
  <w:style w:type="character" w:customStyle="1" w:styleId="CommentSubjectChar">
    <w:name w:val="Comment Subject Char"/>
    <w:basedOn w:val="CommentTextChar"/>
    <w:link w:val="CommentSubject"/>
    <w:uiPriority w:val="99"/>
    <w:semiHidden/>
    <w:rsid w:val="00FB499C"/>
    <w:rPr>
      <w:b/>
      <w:bCs/>
      <w:sz w:val="20"/>
      <w:szCs w:val="20"/>
    </w:rPr>
  </w:style>
  <w:style w:type="paragraph" w:styleId="BalloonText">
    <w:name w:val="Balloon Text"/>
    <w:basedOn w:val="Normal"/>
    <w:link w:val="BalloonTextChar"/>
    <w:uiPriority w:val="99"/>
    <w:semiHidden/>
    <w:unhideWhenUsed/>
    <w:rsid w:val="00FB49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9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ecord.dhs.state.nj.us/ProviderSear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318D1-02FF-4BBC-B484-97FC5387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New Jersey DHS</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Robinson (DHS)</dc:creator>
  <cp:keywords/>
  <dc:description/>
  <cp:lastModifiedBy>Miloni Bhatt</cp:lastModifiedBy>
  <cp:revision>2</cp:revision>
  <dcterms:created xsi:type="dcterms:W3CDTF">2023-02-01T13:35:00Z</dcterms:created>
  <dcterms:modified xsi:type="dcterms:W3CDTF">2023-02-01T13:35:00Z</dcterms:modified>
</cp:coreProperties>
</file>